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AF2" w:rsidRPr="000E1045" w:rsidRDefault="009F3AF2" w:rsidP="00D641DD">
      <w:pPr>
        <w:jc w:val="both"/>
        <w:rPr>
          <w:rFonts w:ascii="Century" w:hAnsi="Century"/>
          <w:b/>
          <w:sz w:val="26"/>
          <w:szCs w:val="26"/>
        </w:rPr>
      </w:pPr>
      <w:bookmarkStart w:id="0" w:name="_GoBack"/>
      <w:r w:rsidRPr="000E1045">
        <w:rPr>
          <w:rFonts w:ascii="Century" w:hAnsi="Century"/>
          <w:b/>
          <w:sz w:val="26"/>
          <w:szCs w:val="26"/>
        </w:rPr>
        <w:t xml:space="preserve">EXCELENTÍSSIMO SENHOR </w:t>
      </w:r>
      <w:r w:rsidR="00D641DD">
        <w:rPr>
          <w:rFonts w:ascii="Century" w:hAnsi="Century"/>
          <w:b/>
          <w:sz w:val="26"/>
          <w:szCs w:val="26"/>
        </w:rPr>
        <w:t>MINISTRO AUGUSTO NARDES</w:t>
      </w:r>
    </w:p>
    <w:bookmarkEnd w:id="0"/>
    <w:p w:rsidR="009F3AF2" w:rsidRPr="000E1045" w:rsidRDefault="009F3AF2" w:rsidP="009F3AF2">
      <w:pPr>
        <w:rPr>
          <w:rFonts w:ascii="Century" w:hAnsi="Century"/>
          <w:b/>
          <w:sz w:val="26"/>
          <w:szCs w:val="26"/>
        </w:rPr>
      </w:pPr>
      <w:r w:rsidRPr="000E1045">
        <w:rPr>
          <w:rFonts w:ascii="Century" w:hAnsi="Century"/>
          <w:b/>
          <w:sz w:val="26"/>
          <w:szCs w:val="26"/>
        </w:rPr>
        <w:t xml:space="preserve">DD. </w:t>
      </w:r>
      <w:r w:rsidR="00D641DD">
        <w:rPr>
          <w:rFonts w:ascii="Century" w:hAnsi="Century"/>
          <w:b/>
          <w:sz w:val="26"/>
          <w:szCs w:val="26"/>
        </w:rPr>
        <w:t>RELATOR DO TC Nº 021.463/2014-</w:t>
      </w:r>
      <w:proofErr w:type="gramStart"/>
      <w:r w:rsidR="00D641DD">
        <w:rPr>
          <w:rFonts w:ascii="Century" w:hAnsi="Century"/>
          <w:b/>
          <w:sz w:val="26"/>
          <w:szCs w:val="26"/>
        </w:rPr>
        <w:t>8</w:t>
      </w:r>
      <w:proofErr w:type="gramEnd"/>
    </w:p>
    <w:p w:rsidR="009F3AF2" w:rsidRPr="008E7B53" w:rsidRDefault="009F3AF2" w:rsidP="009F3AF2">
      <w:pPr>
        <w:rPr>
          <w:rFonts w:ascii="Century" w:hAnsi="Century"/>
          <w:sz w:val="26"/>
          <w:szCs w:val="26"/>
        </w:rPr>
      </w:pPr>
    </w:p>
    <w:p w:rsidR="009F3AF2" w:rsidRPr="008E7B53" w:rsidRDefault="009F3AF2" w:rsidP="009F3AF2">
      <w:pPr>
        <w:rPr>
          <w:rFonts w:ascii="Century" w:hAnsi="Century"/>
          <w:sz w:val="26"/>
          <w:szCs w:val="26"/>
        </w:rPr>
      </w:pPr>
    </w:p>
    <w:p w:rsidR="009F3AF2" w:rsidRDefault="009F3AF2" w:rsidP="009F3AF2">
      <w:pPr>
        <w:rPr>
          <w:rFonts w:ascii="Century" w:hAnsi="Century"/>
          <w:sz w:val="26"/>
          <w:szCs w:val="26"/>
        </w:rPr>
      </w:pPr>
    </w:p>
    <w:p w:rsidR="00A661F3" w:rsidRPr="008E7B53" w:rsidRDefault="00A661F3" w:rsidP="009F3AF2">
      <w:pPr>
        <w:rPr>
          <w:rFonts w:ascii="Century" w:hAnsi="Century"/>
          <w:sz w:val="26"/>
          <w:szCs w:val="26"/>
        </w:rPr>
      </w:pPr>
    </w:p>
    <w:p w:rsidR="009F3AF2" w:rsidRDefault="009F3AF2" w:rsidP="009F3AF2">
      <w:pPr>
        <w:rPr>
          <w:rFonts w:ascii="Century" w:hAnsi="Century"/>
          <w:sz w:val="26"/>
          <w:szCs w:val="26"/>
        </w:rPr>
      </w:pPr>
    </w:p>
    <w:p w:rsidR="009F3AF2" w:rsidRDefault="009F3AF2" w:rsidP="009F3AF2">
      <w:pPr>
        <w:rPr>
          <w:rFonts w:ascii="Century" w:hAnsi="Century"/>
          <w:sz w:val="26"/>
          <w:szCs w:val="26"/>
        </w:rPr>
      </w:pPr>
    </w:p>
    <w:p w:rsidR="009F3AF2" w:rsidRDefault="009F3AF2" w:rsidP="009F3AF2">
      <w:pPr>
        <w:rPr>
          <w:rFonts w:ascii="Century" w:hAnsi="Century"/>
          <w:sz w:val="26"/>
          <w:szCs w:val="26"/>
        </w:rPr>
      </w:pPr>
    </w:p>
    <w:p w:rsidR="009F3AF2" w:rsidRPr="008E7B53" w:rsidRDefault="009F3AF2" w:rsidP="009F3AF2">
      <w:pPr>
        <w:rPr>
          <w:rFonts w:ascii="Century" w:hAnsi="Century"/>
          <w:sz w:val="26"/>
          <w:szCs w:val="26"/>
        </w:rPr>
      </w:pPr>
    </w:p>
    <w:p w:rsidR="009F3AF2" w:rsidRDefault="009F3AF2" w:rsidP="009F3AF2">
      <w:pPr>
        <w:rPr>
          <w:rFonts w:ascii="Century" w:hAnsi="Century"/>
          <w:sz w:val="26"/>
          <w:szCs w:val="26"/>
        </w:rPr>
      </w:pPr>
    </w:p>
    <w:p w:rsidR="00A661F3" w:rsidRDefault="00A661F3" w:rsidP="009F3AF2">
      <w:pPr>
        <w:rPr>
          <w:rFonts w:ascii="Century" w:hAnsi="Century"/>
          <w:sz w:val="26"/>
          <w:szCs w:val="26"/>
        </w:rPr>
      </w:pPr>
    </w:p>
    <w:p w:rsidR="009F3AF2" w:rsidRPr="008E7B53" w:rsidRDefault="009F3AF2" w:rsidP="009F3AF2">
      <w:pPr>
        <w:rPr>
          <w:rFonts w:ascii="Century" w:hAnsi="Century"/>
          <w:sz w:val="26"/>
          <w:szCs w:val="26"/>
        </w:rPr>
      </w:pPr>
    </w:p>
    <w:p w:rsidR="009F3AF2" w:rsidRPr="008E7B53" w:rsidRDefault="009F3AF2" w:rsidP="009F3AF2">
      <w:pPr>
        <w:rPr>
          <w:rFonts w:ascii="Century" w:hAnsi="Century"/>
          <w:sz w:val="26"/>
          <w:szCs w:val="26"/>
        </w:rPr>
      </w:pPr>
    </w:p>
    <w:p w:rsidR="009F3AF2" w:rsidRPr="008E7B53" w:rsidRDefault="009F3AF2" w:rsidP="009F3AF2">
      <w:pPr>
        <w:rPr>
          <w:rFonts w:ascii="Century" w:hAnsi="Century"/>
          <w:sz w:val="26"/>
          <w:szCs w:val="26"/>
        </w:rPr>
      </w:pPr>
    </w:p>
    <w:p w:rsidR="009F3AF2" w:rsidRDefault="009F3AF2" w:rsidP="00A661F3">
      <w:pPr>
        <w:spacing w:line="360" w:lineRule="auto"/>
        <w:ind w:firstLine="1701"/>
        <w:jc w:val="both"/>
        <w:rPr>
          <w:rFonts w:ascii="Century" w:hAnsi="Century" w:cs="Courier New"/>
          <w:sz w:val="26"/>
          <w:szCs w:val="26"/>
        </w:rPr>
      </w:pPr>
      <w:r w:rsidRPr="008E7B53">
        <w:rPr>
          <w:rFonts w:ascii="Century" w:hAnsi="Century" w:cs="Courier New"/>
          <w:b/>
          <w:sz w:val="26"/>
          <w:szCs w:val="26"/>
        </w:rPr>
        <w:t>PARTIDO DA SOCIAL DEMOCRACIA BRASILEIRA - PSDB</w:t>
      </w:r>
      <w:r w:rsidRPr="008E7B53">
        <w:rPr>
          <w:rFonts w:ascii="Century" w:hAnsi="Century" w:cs="Courier New"/>
          <w:sz w:val="26"/>
          <w:szCs w:val="26"/>
        </w:rPr>
        <w:t xml:space="preserve">, pessoa jurídica de direito privado, partido político com estatuto devidamente registrado junto ao TSE, inscrito no CNPJ sob nº 03.653.474/0001-20, com sede na cidade de Brasília, Distrito Federal, no SGAS 607, L2-Sul, Centro Clínico </w:t>
      </w:r>
      <w:proofErr w:type="spellStart"/>
      <w:r w:rsidRPr="008E7B53">
        <w:rPr>
          <w:rFonts w:ascii="Century" w:hAnsi="Century" w:cs="Courier New"/>
          <w:sz w:val="26"/>
          <w:szCs w:val="26"/>
        </w:rPr>
        <w:t>Metrópolis</w:t>
      </w:r>
      <w:proofErr w:type="spellEnd"/>
      <w:r w:rsidRPr="008E7B53">
        <w:rPr>
          <w:rFonts w:ascii="Century" w:hAnsi="Century" w:cs="Courier New"/>
          <w:sz w:val="26"/>
          <w:szCs w:val="26"/>
        </w:rPr>
        <w:t xml:space="preserve">, Cobertura </w:t>
      </w:r>
      <w:proofErr w:type="gramStart"/>
      <w:r w:rsidRPr="008E7B53">
        <w:rPr>
          <w:rFonts w:ascii="Century" w:hAnsi="Century" w:cs="Courier New"/>
          <w:sz w:val="26"/>
          <w:szCs w:val="26"/>
        </w:rPr>
        <w:t>2</w:t>
      </w:r>
      <w:proofErr w:type="gramEnd"/>
      <w:r w:rsidRPr="008E7B53">
        <w:rPr>
          <w:rFonts w:ascii="Century" w:hAnsi="Century" w:cs="Courier New"/>
          <w:sz w:val="26"/>
          <w:szCs w:val="26"/>
        </w:rPr>
        <w:t xml:space="preserve">, neste ato representado por seu presidente, Senador AÉCIO NEVES DA CUNHA, e seus líderes na Câmara dos Deputados e no Senado Federal, respectivamente, CARLOS SAMPAIO, Deputado Federal, e CÁSSIO CUNHA LIMA, Senador da República, todos com domicílio também nesta cidade de Brasília; </w:t>
      </w:r>
      <w:r w:rsidRPr="008E7B53">
        <w:rPr>
          <w:rFonts w:ascii="Century" w:hAnsi="Century" w:cs="Courier New"/>
          <w:b/>
          <w:sz w:val="26"/>
          <w:szCs w:val="26"/>
        </w:rPr>
        <w:t>DEMOCRATAS – DEM</w:t>
      </w:r>
      <w:r w:rsidRPr="008E7B53">
        <w:rPr>
          <w:rFonts w:ascii="Century" w:hAnsi="Century" w:cs="Courier New"/>
          <w:sz w:val="26"/>
          <w:szCs w:val="26"/>
        </w:rPr>
        <w:t xml:space="preserve">, pessoa jurídica de direito privado, partido político com estatuto devidamente registrado junto ao TSE, inscrito no CNPJ sob nº 01.633.510/0001-69, </w:t>
      </w:r>
      <w:r w:rsidRPr="008E7B53">
        <w:rPr>
          <w:rFonts w:ascii="Century" w:hAnsi="Century" w:cs="Courier New"/>
          <w:sz w:val="26"/>
          <w:szCs w:val="26"/>
        </w:rPr>
        <w:lastRenderedPageBreak/>
        <w:t xml:space="preserve">com sede na cidade de Brasília, Distrito Federal, no Senado Federal, Anexo I, 26º Andar, </w:t>
      </w:r>
      <w:proofErr w:type="spellStart"/>
      <w:r w:rsidRPr="008E7B53">
        <w:rPr>
          <w:rFonts w:ascii="Century" w:hAnsi="Century" w:cs="Courier New"/>
          <w:sz w:val="26"/>
          <w:szCs w:val="26"/>
        </w:rPr>
        <w:t>Sl</w:t>
      </w:r>
      <w:proofErr w:type="spellEnd"/>
      <w:r w:rsidRPr="008E7B53">
        <w:rPr>
          <w:rFonts w:ascii="Century" w:hAnsi="Century" w:cs="Courier New"/>
          <w:sz w:val="26"/>
          <w:szCs w:val="26"/>
        </w:rPr>
        <w:t xml:space="preserve">. 2602, neste ato representado por seu presidente, Senador JOSÉ AGRIPINO MAIA, e seus líderes na Câmara dos Deputados e no Senado Federal, respectivamente, MENDONÇA FILHO, Deputado Federal, e RONALDO CAIADO, Senador da República, todos com domicílio também nesta cidade de Brasília; </w:t>
      </w:r>
      <w:r w:rsidRPr="008E7B53">
        <w:rPr>
          <w:rFonts w:ascii="Century" w:hAnsi="Century" w:cs="Courier New"/>
          <w:b/>
          <w:sz w:val="26"/>
          <w:szCs w:val="26"/>
        </w:rPr>
        <w:t>SOLIDARIEDADE - SD</w:t>
      </w:r>
      <w:r w:rsidRPr="008E7B53">
        <w:rPr>
          <w:rFonts w:ascii="Century" w:hAnsi="Century" w:cs="Courier New"/>
          <w:sz w:val="26"/>
          <w:szCs w:val="26"/>
        </w:rPr>
        <w:t xml:space="preserve">, pessoa jurídica de direito privado, partido político com estatuto devidamente registrado junto ao TSE, inscrito no CNPJ sob nº 18.532.307/0001-07, com sede na cidade de Brasília, Distrito Federal, no SHIS QL 16, </w:t>
      </w:r>
      <w:proofErr w:type="spellStart"/>
      <w:r w:rsidRPr="008E7B53">
        <w:rPr>
          <w:rFonts w:ascii="Century" w:hAnsi="Century" w:cs="Courier New"/>
          <w:sz w:val="26"/>
          <w:szCs w:val="26"/>
        </w:rPr>
        <w:t>Cj</w:t>
      </w:r>
      <w:proofErr w:type="spellEnd"/>
      <w:r w:rsidRPr="008E7B53">
        <w:rPr>
          <w:rFonts w:ascii="Century" w:hAnsi="Century" w:cs="Courier New"/>
          <w:sz w:val="26"/>
          <w:szCs w:val="26"/>
        </w:rPr>
        <w:t>. 5, Casa 18, Lago Sul, neste ato representado por seu presidente, Deputado PAULO PEREIRA DA SILVA,</w:t>
      </w:r>
      <w:r w:rsidRPr="008E7B53">
        <w:rPr>
          <w:rFonts w:ascii="Century" w:hAnsi="Century"/>
          <w:sz w:val="26"/>
          <w:szCs w:val="26"/>
        </w:rPr>
        <w:t xml:space="preserve"> </w:t>
      </w:r>
      <w:r w:rsidRPr="008E7B53">
        <w:rPr>
          <w:rFonts w:ascii="Century" w:hAnsi="Century" w:cs="Courier New"/>
          <w:sz w:val="26"/>
          <w:szCs w:val="26"/>
        </w:rPr>
        <w:t xml:space="preserve">e seu líder na Câmara dos Deputados, ARTHUR OLIVEIRA MAIA, Deputado Federal, todos com domicílio também nesta cidade de Brasília; e </w:t>
      </w:r>
      <w:r w:rsidRPr="008E7B53">
        <w:rPr>
          <w:rFonts w:ascii="Century" w:hAnsi="Century" w:cs="Courier New"/>
          <w:b/>
          <w:sz w:val="26"/>
          <w:szCs w:val="26"/>
        </w:rPr>
        <w:t>PARTIDO POPULAR SOCIALISTA - PPS</w:t>
      </w:r>
      <w:r w:rsidRPr="008E7B53">
        <w:rPr>
          <w:rFonts w:ascii="Century" w:hAnsi="Century" w:cs="Courier New"/>
          <w:sz w:val="26"/>
          <w:szCs w:val="26"/>
        </w:rPr>
        <w:t xml:space="preserve">, pessoa jurídica de direito privado, partido político com estatuto devidamente registrado junto ao TSE, inscrito no CNPJ sob nº 29.417.359/0001-40, com sede na cidade de Brasília, Distrito Federal, no SCS Quadra 7, Bloco A, Salas 826/828 neste ato representado por seu presidente, Deputado ROBERTO JOÃO PEREIRA FREIRE, e seus líderes na Câmara dos Deputados e no Senado Federal, respectivamente, RUBENS BUENO, Deputado Federal, e JOSÉ MEDEIROS, Senador da República, todos com domicílio </w:t>
      </w:r>
      <w:r>
        <w:rPr>
          <w:rFonts w:ascii="Century" w:hAnsi="Century" w:cs="Courier New"/>
          <w:sz w:val="26"/>
          <w:szCs w:val="26"/>
        </w:rPr>
        <w:t>também nesta cidade de Brasília,</w:t>
      </w:r>
      <w:r w:rsidRPr="008E7B53">
        <w:rPr>
          <w:rFonts w:ascii="Century" w:hAnsi="Century" w:cs="Courier New"/>
          <w:sz w:val="26"/>
          <w:szCs w:val="26"/>
        </w:rPr>
        <w:t xml:space="preserve"> vêm</w:t>
      </w:r>
      <w:r>
        <w:rPr>
          <w:rFonts w:ascii="Century" w:hAnsi="Century" w:cs="Courier New"/>
          <w:sz w:val="26"/>
          <w:szCs w:val="26"/>
        </w:rPr>
        <w:t xml:space="preserve">, respeitosamente, à presença de Vossa Excelência, oferecer o presente </w:t>
      </w:r>
      <w:r>
        <w:rPr>
          <w:rFonts w:ascii="Century" w:hAnsi="Century" w:cs="Courier New"/>
          <w:b/>
          <w:sz w:val="26"/>
          <w:szCs w:val="26"/>
        </w:rPr>
        <w:t>ADITAMENTO</w:t>
      </w:r>
      <w:r>
        <w:rPr>
          <w:rFonts w:ascii="Century" w:hAnsi="Century" w:cs="Courier New"/>
          <w:sz w:val="26"/>
          <w:szCs w:val="26"/>
        </w:rPr>
        <w:t xml:space="preserve"> à representação acima referida, em que se apura a prática dos crimes previstos nos artigos 359-A, 359-C e 299 do Código Penal, por atos praticados pela Presidente da República </w:t>
      </w:r>
      <w:r>
        <w:rPr>
          <w:rFonts w:ascii="Century" w:hAnsi="Century" w:cs="Courier New"/>
          <w:b/>
          <w:sz w:val="26"/>
          <w:szCs w:val="26"/>
        </w:rPr>
        <w:t>DILMA VANNA ROUSSEFF</w:t>
      </w:r>
      <w:r>
        <w:rPr>
          <w:rFonts w:ascii="Century" w:hAnsi="Century" w:cs="Courier New"/>
          <w:sz w:val="26"/>
          <w:szCs w:val="26"/>
        </w:rPr>
        <w:t>, já qualificada, o que faz nos seguintes termos:</w:t>
      </w:r>
    </w:p>
    <w:p w:rsidR="009F3AF2" w:rsidRDefault="009F3AF2" w:rsidP="00D641DD">
      <w:pPr>
        <w:spacing w:line="360" w:lineRule="auto"/>
        <w:ind w:firstLine="1701"/>
        <w:jc w:val="both"/>
        <w:rPr>
          <w:rFonts w:ascii="Century" w:hAnsi="Century" w:cs="Courier New"/>
          <w:sz w:val="26"/>
          <w:szCs w:val="26"/>
        </w:rPr>
      </w:pPr>
      <w:proofErr w:type="gramStart"/>
      <w:r>
        <w:rPr>
          <w:rFonts w:ascii="Century" w:hAnsi="Century" w:cs="Courier New"/>
          <w:sz w:val="26"/>
          <w:szCs w:val="26"/>
        </w:rPr>
        <w:lastRenderedPageBreak/>
        <w:t>1.</w:t>
      </w:r>
      <w:proofErr w:type="gramEnd"/>
      <w:r>
        <w:rPr>
          <w:rFonts w:ascii="Century" w:hAnsi="Century" w:cs="Courier New"/>
          <w:sz w:val="26"/>
          <w:szCs w:val="26"/>
        </w:rPr>
        <w:t xml:space="preserve">- </w:t>
      </w:r>
      <w:r w:rsidR="00D641DD">
        <w:rPr>
          <w:rFonts w:ascii="Century" w:hAnsi="Century" w:cs="Courier New"/>
          <w:sz w:val="26"/>
          <w:szCs w:val="26"/>
        </w:rPr>
        <w:t>Conforme decisão proferida por esse Colendo Tribunal de Contas da União, houve por bem o Plenário da Corte em acolher representação ofertada pelo Ministério Público junto ao TCU, na pessoa do Procurador Júlio Marcelo de Oliveira, para continuidade dos trabalhos de auditoria sobre manobras contábeis executadas pelo Governo Federal no ano de 2014, ações essas que ficaram conhecidas como “Pedaladas Fiscais”, que feriram os princípios da transparência, legalidade e da moralidade, além de regras contábeis explícita, notadamente a Lei de Responsabilidade Fiscal.</w:t>
      </w:r>
    </w:p>
    <w:p w:rsidR="00311700" w:rsidRDefault="00311700" w:rsidP="00A661F3">
      <w:pPr>
        <w:spacing w:line="360" w:lineRule="auto"/>
        <w:ind w:firstLine="1701"/>
        <w:jc w:val="both"/>
        <w:rPr>
          <w:rFonts w:ascii="Century" w:hAnsi="Century" w:cs="Courier New"/>
          <w:sz w:val="26"/>
          <w:szCs w:val="26"/>
        </w:rPr>
      </w:pPr>
      <w:proofErr w:type="gramStart"/>
      <w:r>
        <w:rPr>
          <w:rFonts w:ascii="Century" w:hAnsi="Century" w:cs="Courier New"/>
          <w:sz w:val="26"/>
          <w:szCs w:val="26"/>
        </w:rPr>
        <w:t>2.</w:t>
      </w:r>
      <w:proofErr w:type="gramEnd"/>
      <w:r>
        <w:rPr>
          <w:rFonts w:ascii="Century" w:hAnsi="Century" w:cs="Courier New"/>
          <w:sz w:val="26"/>
          <w:szCs w:val="26"/>
        </w:rPr>
        <w:t xml:space="preserve">- </w:t>
      </w:r>
      <w:r w:rsidR="00D641DD">
        <w:rPr>
          <w:rFonts w:ascii="Century" w:hAnsi="Century" w:cs="Courier New"/>
          <w:sz w:val="26"/>
          <w:szCs w:val="26"/>
        </w:rPr>
        <w:t>A decisão do Plenário determinou a instauração de procedimento de fiscalização, intimando os responsáveis para apresentar suas defesas para continuidade do processo</w:t>
      </w:r>
      <w:r>
        <w:rPr>
          <w:rFonts w:ascii="Century" w:hAnsi="Century" w:cs="Courier New"/>
          <w:sz w:val="26"/>
          <w:szCs w:val="26"/>
        </w:rPr>
        <w:t>.</w:t>
      </w:r>
    </w:p>
    <w:p w:rsidR="00311700" w:rsidRDefault="00311700" w:rsidP="00A661F3">
      <w:pPr>
        <w:spacing w:line="360" w:lineRule="auto"/>
        <w:ind w:firstLine="1701"/>
        <w:jc w:val="both"/>
        <w:rPr>
          <w:rFonts w:ascii="Century" w:hAnsi="Century" w:cs="Courier New"/>
          <w:sz w:val="26"/>
          <w:szCs w:val="26"/>
        </w:rPr>
      </w:pPr>
      <w:proofErr w:type="gramStart"/>
      <w:r>
        <w:rPr>
          <w:rFonts w:ascii="Century" w:hAnsi="Century" w:cs="Courier New"/>
          <w:sz w:val="26"/>
          <w:szCs w:val="26"/>
        </w:rPr>
        <w:t>3.</w:t>
      </w:r>
      <w:proofErr w:type="gramEnd"/>
      <w:r>
        <w:rPr>
          <w:rFonts w:ascii="Century" w:hAnsi="Century" w:cs="Courier New"/>
          <w:sz w:val="26"/>
          <w:szCs w:val="26"/>
        </w:rPr>
        <w:t xml:space="preserve">- </w:t>
      </w:r>
      <w:r w:rsidR="004977D9">
        <w:rPr>
          <w:rFonts w:ascii="Century" w:hAnsi="Century" w:cs="Courier New"/>
          <w:sz w:val="26"/>
          <w:szCs w:val="26"/>
        </w:rPr>
        <w:t xml:space="preserve">Apesar das ilegalidades apuradas e fartamente noticiadas ainda no ano de 2014, referente à maquiagem das contas de Governo, é certo que neste ano de 2015, mesmo após determinações de cessação dessas práticas </w:t>
      </w:r>
      <w:r w:rsidR="00D641DD">
        <w:rPr>
          <w:rFonts w:ascii="Century" w:hAnsi="Century" w:cs="Courier New"/>
          <w:sz w:val="26"/>
          <w:szCs w:val="26"/>
        </w:rPr>
        <w:t>por esse órgão de contas</w:t>
      </w:r>
      <w:r w:rsidR="004977D9">
        <w:rPr>
          <w:rFonts w:ascii="Century" w:hAnsi="Century" w:cs="Courier New"/>
          <w:sz w:val="26"/>
          <w:szCs w:val="26"/>
        </w:rPr>
        <w:t>, as práticas de “</w:t>
      </w:r>
      <w:r w:rsidR="000E1045">
        <w:rPr>
          <w:rFonts w:ascii="Century" w:hAnsi="Century" w:cs="Courier New"/>
          <w:sz w:val="26"/>
          <w:szCs w:val="26"/>
        </w:rPr>
        <w:t>pedaladas fis</w:t>
      </w:r>
      <w:r w:rsidR="004977D9">
        <w:rPr>
          <w:rFonts w:ascii="Century" w:hAnsi="Century" w:cs="Courier New"/>
          <w:sz w:val="26"/>
          <w:szCs w:val="26"/>
        </w:rPr>
        <w:t>cais” continuaram neste ano de 2015, conforme noticiou o jornal Folha de São Paulo em matéria assim redigida:</w:t>
      </w:r>
    </w:p>
    <w:p w:rsidR="004977D9" w:rsidRPr="004977D9" w:rsidRDefault="004977D9" w:rsidP="00A661F3">
      <w:pPr>
        <w:spacing w:after="0" w:line="240" w:lineRule="auto"/>
        <w:ind w:left="1701"/>
        <w:jc w:val="both"/>
        <w:rPr>
          <w:rFonts w:ascii="Century" w:hAnsi="Century" w:cs="Courier New"/>
          <w:sz w:val="26"/>
          <w:szCs w:val="26"/>
        </w:rPr>
      </w:pPr>
      <w:r w:rsidRPr="004977D9">
        <w:rPr>
          <w:rFonts w:ascii="Century" w:hAnsi="Century" w:cs="Courier New"/>
          <w:sz w:val="26"/>
          <w:szCs w:val="26"/>
        </w:rPr>
        <w:t xml:space="preserve">PEDALADAS COM BANCOS ESTATAIS CONTINUAM </w:t>
      </w:r>
    </w:p>
    <w:p w:rsidR="004977D9" w:rsidRPr="004977D9" w:rsidRDefault="004977D9" w:rsidP="00A661F3">
      <w:pPr>
        <w:spacing w:after="0" w:line="240" w:lineRule="auto"/>
        <w:ind w:left="1701"/>
        <w:jc w:val="both"/>
        <w:rPr>
          <w:rFonts w:ascii="Century" w:hAnsi="Century" w:cs="Courier New"/>
          <w:sz w:val="26"/>
          <w:szCs w:val="26"/>
        </w:rPr>
      </w:pPr>
      <w:r w:rsidRPr="004977D9">
        <w:rPr>
          <w:rFonts w:ascii="Century" w:hAnsi="Century" w:cs="Courier New"/>
          <w:sz w:val="26"/>
          <w:szCs w:val="26"/>
        </w:rPr>
        <w:t>Tesouro ampliou em R$ 2 bi dívida com Caixa e BB devido a represamento de repasse para programas sociais</w:t>
      </w:r>
    </w:p>
    <w:p w:rsidR="004977D9" w:rsidRPr="004977D9" w:rsidRDefault="004977D9" w:rsidP="00A661F3">
      <w:pPr>
        <w:spacing w:after="0" w:line="240" w:lineRule="auto"/>
        <w:ind w:left="1701"/>
        <w:jc w:val="both"/>
        <w:rPr>
          <w:rFonts w:ascii="Century" w:hAnsi="Century" w:cs="Courier New"/>
          <w:sz w:val="26"/>
          <w:szCs w:val="26"/>
        </w:rPr>
      </w:pPr>
      <w:r w:rsidRPr="004977D9">
        <w:rPr>
          <w:rFonts w:ascii="Century" w:hAnsi="Century" w:cs="Courier New"/>
          <w:sz w:val="26"/>
          <w:szCs w:val="26"/>
        </w:rPr>
        <w:t xml:space="preserve">Data: 22/06/2015 </w:t>
      </w:r>
    </w:p>
    <w:p w:rsidR="004977D9" w:rsidRPr="004977D9" w:rsidRDefault="004977D9" w:rsidP="00A661F3">
      <w:pPr>
        <w:spacing w:after="0" w:line="240" w:lineRule="auto"/>
        <w:ind w:left="1701"/>
        <w:jc w:val="both"/>
        <w:rPr>
          <w:rFonts w:ascii="Century" w:hAnsi="Century" w:cs="Courier New"/>
          <w:sz w:val="26"/>
          <w:szCs w:val="26"/>
        </w:rPr>
      </w:pPr>
      <w:r w:rsidRPr="004977D9">
        <w:rPr>
          <w:rFonts w:ascii="Century" w:hAnsi="Century" w:cs="Courier New"/>
          <w:sz w:val="26"/>
          <w:szCs w:val="26"/>
        </w:rPr>
        <w:t xml:space="preserve">Autor: EDUARDO CUCOLO DE BRASÍLIA </w:t>
      </w:r>
    </w:p>
    <w:p w:rsidR="004977D9" w:rsidRPr="004977D9" w:rsidRDefault="004977D9" w:rsidP="00A661F3">
      <w:pPr>
        <w:spacing w:after="0" w:line="240" w:lineRule="auto"/>
        <w:ind w:left="1701"/>
        <w:jc w:val="both"/>
        <w:rPr>
          <w:rFonts w:ascii="Century" w:hAnsi="Century" w:cs="Courier New"/>
          <w:sz w:val="26"/>
          <w:szCs w:val="26"/>
        </w:rPr>
      </w:pPr>
      <w:r w:rsidRPr="004977D9">
        <w:rPr>
          <w:rFonts w:ascii="Century" w:hAnsi="Century" w:cs="Courier New"/>
          <w:sz w:val="26"/>
          <w:szCs w:val="26"/>
        </w:rPr>
        <w:t>Tesouro afirma que repasses seguem programação do orçamento, mas não apresenta cronograma</w:t>
      </w:r>
    </w:p>
    <w:p w:rsidR="004977D9" w:rsidRPr="004977D9" w:rsidRDefault="004977D9" w:rsidP="00A661F3">
      <w:pPr>
        <w:spacing w:after="0" w:line="240" w:lineRule="auto"/>
        <w:ind w:left="1701"/>
        <w:jc w:val="both"/>
        <w:rPr>
          <w:rFonts w:ascii="Century" w:hAnsi="Century" w:cs="Courier New"/>
          <w:sz w:val="26"/>
          <w:szCs w:val="26"/>
        </w:rPr>
      </w:pPr>
      <w:r w:rsidRPr="004977D9">
        <w:rPr>
          <w:rFonts w:ascii="Century" w:hAnsi="Century" w:cs="Courier New"/>
          <w:sz w:val="26"/>
          <w:szCs w:val="26"/>
        </w:rPr>
        <w:t>Reprovada pelo Tribunal de Contas da União, a prática da "pedalada fiscal" continua em uso pelo governo Dilma Rousseff em 2015.</w:t>
      </w:r>
    </w:p>
    <w:p w:rsidR="004977D9" w:rsidRPr="004977D9" w:rsidRDefault="004977D9" w:rsidP="00A661F3">
      <w:pPr>
        <w:spacing w:after="0" w:line="240" w:lineRule="auto"/>
        <w:ind w:left="1701"/>
        <w:jc w:val="both"/>
        <w:rPr>
          <w:rFonts w:ascii="Century" w:hAnsi="Century" w:cs="Courier New"/>
          <w:sz w:val="26"/>
          <w:szCs w:val="26"/>
        </w:rPr>
      </w:pPr>
      <w:r w:rsidRPr="004977D9">
        <w:rPr>
          <w:rFonts w:ascii="Century" w:hAnsi="Century" w:cs="Courier New"/>
          <w:sz w:val="26"/>
          <w:szCs w:val="26"/>
        </w:rPr>
        <w:lastRenderedPageBreak/>
        <w:t>Uma das manobras consiste em atrasar o repasse do Tesouro, para os bancos públicos, do dinheiro necessário para pagar benefícios sociais ou financiar investimentos com juros mais baixos.</w:t>
      </w:r>
    </w:p>
    <w:p w:rsidR="004977D9" w:rsidRPr="004977D9" w:rsidRDefault="004977D9" w:rsidP="00A661F3">
      <w:pPr>
        <w:spacing w:after="0" w:line="240" w:lineRule="auto"/>
        <w:ind w:left="1701"/>
        <w:jc w:val="both"/>
        <w:rPr>
          <w:rFonts w:ascii="Century" w:hAnsi="Century" w:cs="Courier New"/>
          <w:sz w:val="26"/>
          <w:szCs w:val="26"/>
        </w:rPr>
      </w:pPr>
      <w:r w:rsidRPr="004977D9">
        <w:rPr>
          <w:rFonts w:ascii="Century" w:hAnsi="Century" w:cs="Courier New"/>
          <w:sz w:val="26"/>
          <w:szCs w:val="26"/>
        </w:rPr>
        <w:t>Para manter os desembolsos, os bancos acabam usando seus próprios recursos. O TCU considera que, dessa forma, eles financiaram seu controlador (o governo), o que é proibido pela lei.</w:t>
      </w:r>
    </w:p>
    <w:p w:rsidR="004977D9" w:rsidRPr="004977D9" w:rsidRDefault="004977D9" w:rsidP="00A661F3">
      <w:pPr>
        <w:spacing w:after="0" w:line="240" w:lineRule="auto"/>
        <w:ind w:left="1701"/>
        <w:jc w:val="both"/>
        <w:rPr>
          <w:rFonts w:ascii="Century" w:hAnsi="Century" w:cs="Courier New"/>
          <w:sz w:val="26"/>
          <w:szCs w:val="26"/>
        </w:rPr>
      </w:pPr>
      <w:r w:rsidRPr="004977D9">
        <w:rPr>
          <w:rFonts w:ascii="Century" w:hAnsi="Century" w:cs="Courier New"/>
          <w:sz w:val="26"/>
          <w:szCs w:val="26"/>
        </w:rPr>
        <w:t>O tribunal condenou essa e outras práticas ao analisar as contas de 2014 do governo, e exigiu explicação por escrito de Dilma em 30 dias.</w:t>
      </w:r>
    </w:p>
    <w:p w:rsidR="004977D9" w:rsidRPr="004977D9" w:rsidRDefault="004977D9" w:rsidP="00A661F3">
      <w:pPr>
        <w:spacing w:after="0" w:line="240" w:lineRule="auto"/>
        <w:ind w:left="1701"/>
        <w:jc w:val="both"/>
        <w:rPr>
          <w:rFonts w:ascii="Century" w:hAnsi="Century" w:cs="Courier New"/>
          <w:sz w:val="26"/>
          <w:szCs w:val="26"/>
        </w:rPr>
      </w:pPr>
      <w:r w:rsidRPr="004977D9">
        <w:rPr>
          <w:rFonts w:ascii="Century" w:hAnsi="Century" w:cs="Courier New"/>
          <w:sz w:val="26"/>
          <w:szCs w:val="26"/>
        </w:rPr>
        <w:t>Se não se der por satisfeito, recomendará ao Congresso que rejeite as contas da presidente, algo inédito e que, se confirmado pelo Legislativo, poderá embasar uma ação de impeachment.</w:t>
      </w:r>
    </w:p>
    <w:p w:rsidR="004977D9" w:rsidRPr="004977D9" w:rsidRDefault="004977D9" w:rsidP="00A661F3">
      <w:pPr>
        <w:spacing w:after="0" w:line="240" w:lineRule="auto"/>
        <w:ind w:left="1701"/>
        <w:jc w:val="both"/>
        <w:rPr>
          <w:rFonts w:ascii="Century" w:hAnsi="Century" w:cs="Courier New"/>
          <w:sz w:val="26"/>
          <w:szCs w:val="26"/>
        </w:rPr>
      </w:pPr>
      <w:r w:rsidRPr="004977D9">
        <w:rPr>
          <w:rFonts w:ascii="Century" w:hAnsi="Century" w:cs="Courier New"/>
          <w:sz w:val="26"/>
          <w:szCs w:val="26"/>
        </w:rPr>
        <w:t>A Folha atualizou os mesmos dados usados pelo TCU para embasar a condenação das "pedaladas" de 2014.</w:t>
      </w:r>
    </w:p>
    <w:p w:rsidR="004977D9" w:rsidRPr="004977D9" w:rsidRDefault="004977D9" w:rsidP="00A661F3">
      <w:pPr>
        <w:spacing w:after="0" w:line="240" w:lineRule="auto"/>
        <w:ind w:left="1701"/>
        <w:jc w:val="both"/>
        <w:rPr>
          <w:rFonts w:ascii="Century" w:hAnsi="Century" w:cs="Courier New"/>
          <w:sz w:val="26"/>
          <w:szCs w:val="26"/>
        </w:rPr>
      </w:pPr>
      <w:r w:rsidRPr="004977D9">
        <w:rPr>
          <w:rFonts w:ascii="Century" w:hAnsi="Century" w:cs="Courier New"/>
          <w:sz w:val="26"/>
          <w:szCs w:val="26"/>
        </w:rPr>
        <w:t>O TCU calculou as dívidas com os três bancos e o FGTS em cerca de R$ 40 bilhões na época da auditoria, com números até junho de 2014.</w:t>
      </w:r>
    </w:p>
    <w:p w:rsidR="004977D9" w:rsidRPr="004977D9" w:rsidRDefault="004977D9" w:rsidP="00A661F3">
      <w:pPr>
        <w:spacing w:after="0" w:line="240" w:lineRule="auto"/>
        <w:ind w:left="1701"/>
        <w:jc w:val="both"/>
        <w:rPr>
          <w:rFonts w:ascii="Century" w:hAnsi="Century" w:cs="Courier New"/>
          <w:sz w:val="26"/>
          <w:szCs w:val="26"/>
        </w:rPr>
      </w:pPr>
      <w:r w:rsidRPr="004977D9">
        <w:rPr>
          <w:rFonts w:ascii="Century" w:hAnsi="Century" w:cs="Courier New"/>
          <w:sz w:val="26"/>
          <w:szCs w:val="26"/>
        </w:rPr>
        <w:t>Essa conta já está próxima de R$ 60 bilhões, mais que os R$ 55 bilhões prometidos pelo ministro Joaquim Levy (Fazenda) para reduzir a dívida pública neste ano.</w:t>
      </w:r>
    </w:p>
    <w:p w:rsidR="004977D9" w:rsidRPr="004977D9" w:rsidRDefault="004977D9" w:rsidP="00A661F3">
      <w:pPr>
        <w:spacing w:after="0" w:line="240" w:lineRule="auto"/>
        <w:ind w:left="1701"/>
        <w:jc w:val="both"/>
        <w:rPr>
          <w:rFonts w:ascii="Century" w:hAnsi="Century" w:cs="Courier New"/>
          <w:sz w:val="26"/>
          <w:szCs w:val="26"/>
        </w:rPr>
      </w:pPr>
      <w:r w:rsidRPr="004977D9">
        <w:rPr>
          <w:rFonts w:ascii="Century" w:hAnsi="Century" w:cs="Courier New"/>
          <w:sz w:val="26"/>
          <w:szCs w:val="26"/>
        </w:rPr>
        <w:t>O aumento das dívidas significa que o dinheiro que o governo reservou para ressarcir os bancos não tem sido suficiente nem sequer para pagar as novas despesas registradas em 2015.</w:t>
      </w:r>
    </w:p>
    <w:p w:rsidR="004977D9" w:rsidRPr="004977D9" w:rsidRDefault="004977D9" w:rsidP="00A661F3">
      <w:pPr>
        <w:spacing w:after="0" w:line="240" w:lineRule="auto"/>
        <w:ind w:left="1701"/>
        <w:jc w:val="both"/>
        <w:rPr>
          <w:rFonts w:ascii="Century" w:hAnsi="Century" w:cs="Courier New"/>
          <w:sz w:val="26"/>
          <w:szCs w:val="26"/>
        </w:rPr>
      </w:pPr>
      <w:r w:rsidRPr="004977D9">
        <w:rPr>
          <w:rFonts w:ascii="Century" w:hAnsi="Century" w:cs="Courier New"/>
          <w:sz w:val="26"/>
          <w:szCs w:val="26"/>
        </w:rPr>
        <w:t>DÍVIDA CRESCENTE</w:t>
      </w:r>
    </w:p>
    <w:p w:rsidR="004977D9" w:rsidRPr="004977D9" w:rsidRDefault="004977D9" w:rsidP="00A661F3">
      <w:pPr>
        <w:spacing w:after="0" w:line="240" w:lineRule="auto"/>
        <w:ind w:left="1701"/>
        <w:jc w:val="both"/>
        <w:rPr>
          <w:rFonts w:ascii="Century" w:hAnsi="Century" w:cs="Courier New"/>
          <w:sz w:val="26"/>
          <w:szCs w:val="26"/>
        </w:rPr>
      </w:pPr>
      <w:r w:rsidRPr="004977D9">
        <w:rPr>
          <w:rFonts w:ascii="Century" w:hAnsi="Century" w:cs="Courier New"/>
          <w:sz w:val="26"/>
          <w:szCs w:val="26"/>
        </w:rPr>
        <w:t>Só no primeiro trimestre de 2015, a dívida do governo com a Caixa, pagadora de programas sociais, e o Banco do Brasil, financiador do crédito agrícola, cresceu mais de R$ 2 bilhões e chegou a R$ 19 bilhões no fim de março.</w:t>
      </w:r>
    </w:p>
    <w:p w:rsidR="004977D9" w:rsidRPr="004977D9" w:rsidRDefault="004977D9" w:rsidP="00A661F3">
      <w:pPr>
        <w:spacing w:after="0" w:line="240" w:lineRule="auto"/>
        <w:ind w:left="1701"/>
        <w:jc w:val="both"/>
        <w:rPr>
          <w:rFonts w:ascii="Century" w:hAnsi="Century" w:cs="Courier New"/>
          <w:sz w:val="26"/>
          <w:szCs w:val="26"/>
        </w:rPr>
      </w:pPr>
      <w:r w:rsidRPr="004977D9">
        <w:rPr>
          <w:rFonts w:ascii="Century" w:hAnsi="Century" w:cs="Courier New"/>
          <w:sz w:val="26"/>
          <w:szCs w:val="26"/>
        </w:rPr>
        <w:t>O Tesouro devia ainda, no final de 2014, R$ 26,2 bilhões ao BNDES (banco estatal de fomento) para subsidiar empréstimos. O dado de 2015 ainda não foi divulgado, mas técnicos do governo afirmam que houve alta.</w:t>
      </w:r>
    </w:p>
    <w:p w:rsidR="004977D9" w:rsidRPr="004977D9" w:rsidRDefault="004977D9" w:rsidP="00A661F3">
      <w:pPr>
        <w:spacing w:after="0" w:line="240" w:lineRule="auto"/>
        <w:ind w:left="1701"/>
        <w:jc w:val="both"/>
        <w:rPr>
          <w:rFonts w:ascii="Century" w:hAnsi="Century" w:cs="Courier New"/>
          <w:sz w:val="26"/>
          <w:szCs w:val="26"/>
        </w:rPr>
      </w:pPr>
      <w:r w:rsidRPr="004977D9">
        <w:rPr>
          <w:rFonts w:ascii="Century" w:hAnsi="Century" w:cs="Courier New"/>
          <w:sz w:val="26"/>
          <w:szCs w:val="26"/>
        </w:rPr>
        <w:t>Em 2012, a Fazenda publicou portarias assinadas pelo ex-ministro Guido Mantega e pelo atual ministro do Planejamento, Nelson Barbosa (na época número 2 da Fazenda), permitindo ao governo adiar em ao menos dois anos o pagamento de dívidas com o BNDES.</w:t>
      </w:r>
    </w:p>
    <w:p w:rsidR="004977D9" w:rsidRPr="004977D9" w:rsidRDefault="004977D9" w:rsidP="00A661F3">
      <w:pPr>
        <w:spacing w:after="0" w:line="240" w:lineRule="auto"/>
        <w:ind w:left="1701"/>
        <w:jc w:val="both"/>
        <w:rPr>
          <w:rFonts w:ascii="Century" w:hAnsi="Century" w:cs="Courier New"/>
          <w:sz w:val="26"/>
          <w:szCs w:val="26"/>
        </w:rPr>
      </w:pPr>
      <w:r w:rsidRPr="004977D9">
        <w:rPr>
          <w:rFonts w:ascii="Century" w:hAnsi="Century" w:cs="Courier New"/>
          <w:sz w:val="26"/>
          <w:szCs w:val="26"/>
        </w:rPr>
        <w:lastRenderedPageBreak/>
        <w:t>Durante 24 meses, os valores não seriam contabilizados pelo Tesouro como devidos, embora constem como dívida no balanço do banco, sujeito a normas mais rígidas de contabilidade.</w:t>
      </w:r>
    </w:p>
    <w:p w:rsidR="004977D9" w:rsidRPr="004977D9" w:rsidRDefault="004977D9" w:rsidP="00A661F3">
      <w:pPr>
        <w:spacing w:after="0" w:line="240" w:lineRule="auto"/>
        <w:ind w:left="1701"/>
        <w:jc w:val="both"/>
        <w:rPr>
          <w:rFonts w:ascii="Century" w:hAnsi="Century" w:cs="Courier New"/>
          <w:sz w:val="26"/>
          <w:szCs w:val="26"/>
        </w:rPr>
      </w:pPr>
      <w:r w:rsidRPr="004977D9">
        <w:rPr>
          <w:rFonts w:ascii="Century" w:hAnsi="Century" w:cs="Courier New"/>
          <w:sz w:val="26"/>
          <w:szCs w:val="26"/>
        </w:rPr>
        <w:t>O prazo pode ser prorrogado de acordo com as disponibilidades orçamentárias e financeiras do Tesouro: na prática, permite ao governo pagar a dívida quando quiser.</w:t>
      </w:r>
    </w:p>
    <w:p w:rsidR="004977D9" w:rsidRPr="004977D9" w:rsidRDefault="004977D9" w:rsidP="00A661F3">
      <w:pPr>
        <w:spacing w:after="0" w:line="240" w:lineRule="auto"/>
        <w:ind w:left="1701"/>
        <w:jc w:val="both"/>
        <w:rPr>
          <w:rFonts w:ascii="Century" w:hAnsi="Century" w:cs="Courier New"/>
          <w:sz w:val="26"/>
          <w:szCs w:val="26"/>
        </w:rPr>
      </w:pPr>
      <w:r w:rsidRPr="004977D9">
        <w:rPr>
          <w:rFonts w:ascii="Century" w:hAnsi="Century" w:cs="Courier New"/>
          <w:sz w:val="26"/>
          <w:szCs w:val="26"/>
        </w:rPr>
        <w:t>Para o TCU, a portaria deixara clara que houve uma operação de empréstimos entre BNDES e Tesouro.</w:t>
      </w:r>
    </w:p>
    <w:p w:rsidR="004977D9" w:rsidRPr="004977D9" w:rsidRDefault="004977D9" w:rsidP="00A661F3">
      <w:pPr>
        <w:spacing w:after="0" w:line="240" w:lineRule="auto"/>
        <w:ind w:left="1701"/>
        <w:jc w:val="both"/>
        <w:rPr>
          <w:rFonts w:ascii="Century" w:hAnsi="Century" w:cs="Courier New"/>
          <w:sz w:val="26"/>
          <w:szCs w:val="26"/>
        </w:rPr>
      </w:pPr>
      <w:r w:rsidRPr="004977D9">
        <w:rPr>
          <w:rFonts w:ascii="Century" w:hAnsi="Century" w:cs="Courier New"/>
          <w:sz w:val="26"/>
          <w:szCs w:val="26"/>
        </w:rPr>
        <w:t>No caso do FGTS, o Tesouro reteve cerca de R$ 10 bilhões referente à multa adicional de 10%.</w:t>
      </w:r>
    </w:p>
    <w:p w:rsidR="004977D9" w:rsidRDefault="004977D9" w:rsidP="00A661F3">
      <w:pPr>
        <w:spacing w:after="200" w:line="240" w:lineRule="auto"/>
        <w:ind w:left="1701"/>
        <w:jc w:val="both"/>
        <w:rPr>
          <w:rFonts w:ascii="Century" w:hAnsi="Century" w:cs="Courier New"/>
          <w:sz w:val="26"/>
          <w:szCs w:val="26"/>
        </w:rPr>
      </w:pPr>
      <w:r w:rsidRPr="004977D9">
        <w:rPr>
          <w:rFonts w:ascii="Century" w:hAnsi="Century" w:cs="Courier New"/>
          <w:sz w:val="26"/>
          <w:szCs w:val="26"/>
        </w:rPr>
        <w:t>No final de 2014, a Fazenda prometeu fazer uma proposta de pagamento. Outra dívida com o Minha Casa, Minha Vida, à época de cerca de R$ 7 bilhões, não foi negociada na ocasião.</w:t>
      </w:r>
    </w:p>
    <w:p w:rsidR="00AF2C7F" w:rsidRPr="00AF2C7F" w:rsidRDefault="00AF2C7F" w:rsidP="00A661F3">
      <w:pPr>
        <w:spacing w:line="360" w:lineRule="auto"/>
        <w:ind w:firstLine="1701"/>
        <w:jc w:val="both"/>
        <w:rPr>
          <w:rFonts w:ascii="Century" w:hAnsi="Century" w:cs="Courier New"/>
          <w:sz w:val="26"/>
          <w:szCs w:val="26"/>
        </w:rPr>
      </w:pPr>
      <w:r w:rsidRPr="00AF2C7F">
        <w:rPr>
          <w:rFonts w:ascii="Century" w:hAnsi="Century" w:cs="Courier New"/>
          <w:sz w:val="26"/>
          <w:szCs w:val="26"/>
        </w:rPr>
        <w:t xml:space="preserve">  </w:t>
      </w:r>
      <w:r>
        <w:rPr>
          <w:rFonts w:ascii="Century" w:hAnsi="Century" w:cs="Courier New"/>
          <w:sz w:val="26"/>
          <w:szCs w:val="26"/>
        </w:rPr>
        <w:t>4.- A</w:t>
      </w:r>
      <w:r w:rsidRPr="00AF2C7F">
        <w:rPr>
          <w:rFonts w:ascii="Century" w:hAnsi="Century" w:cs="Courier New"/>
          <w:sz w:val="26"/>
          <w:szCs w:val="26"/>
        </w:rPr>
        <w:t xml:space="preserve"> prova cabal da continuidade das pedaladas fiscais no exercício de 2015 </w:t>
      </w:r>
      <w:r>
        <w:rPr>
          <w:rFonts w:ascii="Century" w:hAnsi="Century" w:cs="Courier New"/>
          <w:sz w:val="26"/>
          <w:szCs w:val="26"/>
        </w:rPr>
        <w:t>está n</w:t>
      </w:r>
      <w:r w:rsidRPr="00AF2C7F">
        <w:rPr>
          <w:rFonts w:ascii="Century" w:hAnsi="Century" w:cs="Courier New"/>
          <w:sz w:val="26"/>
          <w:szCs w:val="26"/>
        </w:rPr>
        <w:t>o balanço do Banco do Brasil do primeiro trimestre do corrente ano, que demonstra a evolução dos valores devidos pelo tesouro nacional</w:t>
      </w:r>
      <w:r>
        <w:rPr>
          <w:rFonts w:ascii="Century" w:hAnsi="Century" w:cs="Courier New"/>
          <w:sz w:val="26"/>
          <w:szCs w:val="26"/>
        </w:rPr>
        <w:t>, a título de equalização de juros da safra agrícola,</w:t>
      </w:r>
      <w:r w:rsidRPr="00AF2C7F">
        <w:rPr>
          <w:rFonts w:ascii="Century" w:hAnsi="Century" w:cs="Courier New"/>
          <w:sz w:val="26"/>
          <w:szCs w:val="26"/>
        </w:rPr>
        <w:t xml:space="preserve"> a esta instituição financeira em aproximadamente 20% (vinte por cento) do montante devido em dezembro de 2014. É que no 4º balanço trimestral de 2014 a dívida sob esta rubrica era de R$ 10,9 bilhões, passando para R$ 12,7 bilhões em 31 de março de 2015.</w:t>
      </w:r>
    </w:p>
    <w:p w:rsidR="004977D9" w:rsidRDefault="00AF2C7F" w:rsidP="00A661F3">
      <w:pPr>
        <w:spacing w:line="360" w:lineRule="auto"/>
        <w:ind w:firstLine="1701"/>
        <w:jc w:val="both"/>
        <w:rPr>
          <w:rFonts w:ascii="Century" w:hAnsi="Century" w:cs="Courier New"/>
          <w:sz w:val="26"/>
          <w:szCs w:val="26"/>
        </w:rPr>
      </w:pPr>
      <w:r>
        <w:rPr>
          <w:rFonts w:ascii="Century" w:hAnsi="Century" w:cs="Courier New"/>
          <w:sz w:val="26"/>
          <w:szCs w:val="26"/>
        </w:rPr>
        <w:t xml:space="preserve">5.- </w:t>
      </w:r>
      <w:r w:rsidRPr="00AF2C7F">
        <w:rPr>
          <w:rFonts w:ascii="Century" w:hAnsi="Century" w:cs="Courier New"/>
          <w:sz w:val="26"/>
          <w:szCs w:val="26"/>
        </w:rPr>
        <w:t xml:space="preserve">Aliás, </w:t>
      </w:r>
      <w:r>
        <w:rPr>
          <w:rFonts w:ascii="Century" w:hAnsi="Century" w:cs="Courier New"/>
          <w:sz w:val="26"/>
          <w:szCs w:val="26"/>
        </w:rPr>
        <w:t xml:space="preserve">na </w:t>
      </w:r>
      <w:r w:rsidRPr="00AF2C7F">
        <w:rPr>
          <w:rFonts w:ascii="Century" w:hAnsi="Century" w:cs="Courier New"/>
          <w:sz w:val="26"/>
          <w:szCs w:val="26"/>
        </w:rPr>
        <w:t xml:space="preserve">nota de rodapé das fls. 87 e 88 do </w:t>
      </w:r>
      <w:r>
        <w:rPr>
          <w:rFonts w:ascii="Century" w:hAnsi="Century" w:cs="Courier New"/>
          <w:sz w:val="26"/>
          <w:szCs w:val="26"/>
        </w:rPr>
        <w:t>mencionado balanço consta a admissão d</w:t>
      </w:r>
      <w:r w:rsidRPr="00AF2C7F">
        <w:rPr>
          <w:rFonts w:ascii="Century" w:hAnsi="Century" w:cs="Courier New"/>
          <w:sz w:val="26"/>
          <w:szCs w:val="26"/>
        </w:rPr>
        <w:t>o crime praticado, nos seguintes termos: “As transações com o Controlador referem-se às operações de alongamento de crédito rural – Tesouro Nacional (Nota 11ª), equalização de taxas – safra agrícola, títulos e créditos a receber do Tesouro Nacional”.</w:t>
      </w:r>
    </w:p>
    <w:p w:rsidR="00AF2C7F" w:rsidRDefault="00AF2C7F" w:rsidP="00A661F3">
      <w:pPr>
        <w:spacing w:line="360" w:lineRule="auto"/>
        <w:ind w:firstLine="1701"/>
        <w:jc w:val="both"/>
        <w:rPr>
          <w:rFonts w:ascii="Century" w:hAnsi="Century" w:cs="Courier New"/>
          <w:sz w:val="26"/>
          <w:szCs w:val="26"/>
        </w:rPr>
      </w:pPr>
      <w:r>
        <w:rPr>
          <w:rFonts w:ascii="Century" w:hAnsi="Century" w:cs="Courier New"/>
          <w:sz w:val="26"/>
          <w:szCs w:val="26"/>
        </w:rPr>
        <w:t>6.- Como revela a matéria anexa, o mesmo proceder se encontra no balanço da Caixa Econômica Federal.</w:t>
      </w:r>
    </w:p>
    <w:p w:rsidR="00AF2C7F" w:rsidRDefault="00AF2C7F" w:rsidP="00A661F3">
      <w:pPr>
        <w:spacing w:line="360" w:lineRule="auto"/>
        <w:ind w:firstLine="1701"/>
        <w:jc w:val="both"/>
        <w:rPr>
          <w:rFonts w:ascii="Century" w:hAnsi="Century" w:cs="Courier New"/>
          <w:sz w:val="26"/>
          <w:szCs w:val="26"/>
        </w:rPr>
      </w:pPr>
      <w:proofErr w:type="gramStart"/>
      <w:r>
        <w:rPr>
          <w:rFonts w:ascii="Century" w:hAnsi="Century" w:cs="Courier New"/>
          <w:sz w:val="26"/>
          <w:szCs w:val="26"/>
        </w:rPr>
        <w:lastRenderedPageBreak/>
        <w:t>7.</w:t>
      </w:r>
      <w:proofErr w:type="gramEnd"/>
      <w:r>
        <w:rPr>
          <w:rFonts w:ascii="Century" w:hAnsi="Century" w:cs="Courier New"/>
          <w:sz w:val="26"/>
          <w:szCs w:val="26"/>
        </w:rPr>
        <w:t xml:space="preserve">- O que ainda não se conhece e deve ser objeto de aprofundamento das </w:t>
      </w:r>
      <w:r w:rsidR="00D641DD">
        <w:rPr>
          <w:rFonts w:ascii="Century" w:hAnsi="Century" w:cs="Courier New"/>
          <w:sz w:val="26"/>
          <w:szCs w:val="26"/>
        </w:rPr>
        <w:t>apur</w:t>
      </w:r>
      <w:r>
        <w:rPr>
          <w:rFonts w:ascii="Century" w:hAnsi="Century" w:cs="Courier New"/>
          <w:sz w:val="26"/>
          <w:szCs w:val="26"/>
        </w:rPr>
        <w:t>ações é o procedim</w:t>
      </w:r>
      <w:r w:rsidR="00D641DD">
        <w:rPr>
          <w:rFonts w:ascii="Century" w:hAnsi="Century" w:cs="Courier New"/>
          <w:sz w:val="26"/>
          <w:szCs w:val="26"/>
        </w:rPr>
        <w:t>ento adotado no ano de 2015 pel</w:t>
      </w:r>
      <w:r>
        <w:rPr>
          <w:rFonts w:ascii="Century" w:hAnsi="Century" w:cs="Courier New"/>
          <w:sz w:val="26"/>
          <w:szCs w:val="26"/>
        </w:rPr>
        <w:t>o Banco Nacional de Desenvolvimento Econômico e Social - BNDES.</w:t>
      </w:r>
    </w:p>
    <w:p w:rsidR="00AF2C7F" w:rsidRDefault="00AF2C7F" w:rsidP="00A661F3">
      <w:pPr>
        <w:spacing w:line="360" w:lineRule="auto"/>
        <w:ind w:firstLine="1701"/>
        <w:jc w:val="both"/>
        <w:rPr>
          <w:rFonts w:ascii="Century" w:hAnsi="Century" w:cs="Courier New"/>
          <w:sz w:val="26"/>
          <w:szCs w:val="26"/>
        </w:rPr>
      </w:pPr>
      <w:r>
        <w:rPr>
          <w:rFonts w:ascii="Century" w:hAnsi="Century" w:cs="Courier New"/>
          <w:sz w:val="26"/>
          <w:szCs w:val="26"/>
        </w:rPr>
        <w:t>8.- É que, por se tratar de sociedade de capital fechado, o BNDES não está sujeito às regras da Comissão de Valores Mobiliários - CVM, não divulgando trimestralmente seus balanços.</w:t>
      </w:r>
    </w:p>
    <w:p w:rsidR="00AF2C7F" w:rsidRDefault="00AF2C7F" w:rsidP="00A661F3">
      <w:pPr>
        <w:spacing w:line="360" w:lineRule="auto"/>
        <w:ind w:firstLine="1701"/>
        <w:jc w:val="both"/>
        <w:rPr>
          <w:rFonts w:ascii="Century" w:hAnsi="Century" w:cs="Courier New"/>
          <w:sz w:val="26"/>
          <w:szCs w:val="26"/>
        </w:rPr>
      </w:pPr>
      <w:r>
        <w:rPr>
          <w:rFonts w:ascii="Century" w:hAnsi="Century" w:cs="Courier New"/>
          <w:sz w:val="26"/>
          <w:szCs w:val="26"/>
        </w:rPr>
        <w:t>9.- Como sói acontecer como regra neste banco de desenvolvimento, a falta de transparência não permite o controle dos gastos públicos. Todavia, a julgar pelo proceder das outras duas instituições financeiras públicas utilizadas para a prática das “pedaladas fiscais” (BB e CEF), a presunção é de que as pedaladas também se estenderam para o BNDES.</w:t>
      </w:r>
    </w:p>
    <w:p w:rsidR="00AF2C7F" w:rsidRDefault="00055A88" w:rsidP="00A661F3">
      <w:pPr>
        <w:spacing w:line="360" w:lineRule="auto"/>
        <w:ind w:firstLine="1701"/>
        <w:jc w:val="both"/>
        <w:rPr>
          <w:rFonts w:ascii="Century" w:hAnsi="Century" w:cs="Courier New"/>
          <w:sz w:val="26"/>
          <w:szCs w:val="26"/>
        </w:rPr>
      </w:pPr>
      <w:proofErr w:type="gramStart"/>
      <w:r>
        <w:rPr>
          <w:rFonts w:ascii="Century" w:hAnsi="Century" w:cs="Courier New"/>
          <w:sz w:val="26"/>
          <w:szCs w:val="26"/>
        </w:rPr>
        <w:t>10.</w:t>
      </w:r>
      <w:proofErr w:type="gramEnd"/>
      <w:r>
        <w:rPr>
          <w:rFonts w:ascii="Century" w:hAnsi="Century" w:cs="Courier New"/>
          <w:sz w:val="26"/>
          <w:szCs w:val="26"/>
        </w:rPr>
        <w:t xml:space="preserve">- De qualquer forma, o fato é que restou comprovado que as pedaladas fiscais se estenderam para o ano de 2015, continuando mesmo após acórdão </w:t>
      </w:r>
      <w:r w:rsidR="00D641DD">
        <w:rPr>
          <w:rFonts w:ascii="Century" w:hAnsi="Century" w:cs="Courier New"/>
          <w:sz w:val="26"/>
          <w:szCs w:val="26"/>
        </w:rPr>
        <w:t>desse Egrégio Tribunal de Contas</w:t>
      </w:r>
      <w:r>
        <w:rPr>
          <w:rFonts w:ascii="Century" w:hAnsi="Century" w:cs="Courier New"/>
          <w:sz w:val="26"/>
          <w:szCs w:val="26"/>
        </w:rPr>
        <w:t>, nos autos do processo administrativo supracitado, recomendar a cessação das ações de uso de dinheiro das instituições financeiras controladas pela União para pagamento de programas governamentais, por constituir operação ilegal de crédito ao afrontar a Lei de Responsabilidade Fiscal.</w:t>
      </w:r>
    </w:p>
    <w:p w:rsidR="00055A88" w:rsidRDefault="00055A88" w:rsidP="00A661F3">
      <w:pPr>
        <w:spacing w:line="360" w:lineRule="auto"/>
        <w:ind w:firstLine="1701"/>
        <w:jc w:val="both"/>
        <w:rPr>
          <w:rFonts w:ascii="Century" w:hAnsi="Century" w:cs="Courier New"/>
          <w:sz w:val="26"/>
          <w:szCs w:val="26"/>
        </w:rPr>
      </w:pPr>
      <w:proofErr w:type="gramStart"/>
      <w:r>
        <w:rPr>
          <w:rFonts w:ascii="Century" w:hAnsi="Century" w:cs="Courier New"/>
          <w:sz w:val="26"/>
          <w:szCs w:val="26"/>
        </w:rPr>
        <w:t>11.</w:t>
      </w:r>
      <w:proofErr w:type="gramEnd"/>
      <w:r>
        <w:rPr>
          <w:rFonts w:ascii="Century" w:hAnsi="Century" w:cs="Courier New"/>
          <w:sz w:val="26"/>
          <w:szCs w:val="26"/>
        </w:rPr>
        <w:t xml:space="preserve">- </w:t>
      </w:r>
      <w:r w:rsidR="00D641DD">
        <w:rPr>
          <w:rFonts w:ascii="Century" w:hAnsi="Century" w:cs="Courier New"/>
          <w:sz w:val="26"/>
          <w:szCs w:val="26"/>
        </w:rPr>
        <w:t xml:space="preserve">O fato é que os procedimentos aqui apontados afronta a lei de responsabilidade fiscal, especificamente seus artigos </w:t>
      </w:r>
      <w:r w:rsidR="002E6E84">
        <w:rPr>
          <w:rFonts w:ascii="Century" w:hAnsi="Century" w:cs="Courier New"/>
          <w:sz w:val="26"/>
          <w:szCs w:val="26"/>
        </w:rPr>
        <w:t>29, III e 35, eis que reiterada a prática de se realizar operação de crédito por meio de não repasse de recursos para instituições públicas que cuidam do repasse de recursos de programas sociais federais</w:t>
      </w:r>
      <w:r>
        <w:rPr>
          <w:rFonts w:ascii="Century" w:hAnsi="Century" w:cs="Courier New"/>
          <w:sz w:val="26"/>
          <w:szCs w:val="26"/>
        </w:rPr>
        <w:t>.</w:t>
      </w:r>
    </w:p>
    <w:p w:rsidR="00055A88" w:rsidRPr="00A661F3" w:rsidRDefault="00055A88" w:rsidP="00A661F3">
      <w:pPr>
        <w:spacing w:line="360" w:lineRule="auto"/>
        <w:ind w:firstLine="1701"/>
        <w:jc w:val="both"/>
        <w:rPr>
          <w:rFonts w:ascii="Century" w:hAnsi="Century" w:cs="Courier New"/>
          <w:b/>
          <w:sz w:val="26"/>
          <w:szCs w:val="26"/>
        </w:rPr>
      </w:pPr>
      <w:proofErr w:type="gramStart"/>
      <w:r w:rsidRPr="00A661F3">
        <w:rPr>
          <w:rFonts w:ascii="Century" w:hAnsi="Century" w:cs="Courier New"/>
          <w:b/>
          <w:sz w:val="26"/>
          <w:szCs w:val="26"/>
        </w:rPr>
        <w:lastRenderedPageBreak/>
        <w:t>12.</w:t>
      </w:r>
      <w:proofErr w:type="gramEnd"/>
      <w:r w:rsidRPr="00A661F3">
        <w:rPr>
          <w:rFonts w:ascii="Century" w:hAnsi="Century" w:cs="Courier New"/>
          <w:b/>
          <w:sz w:val="26"/>
          <w:szCs w:val="26"/>
        </w:rPr>
        <w:t>- PEDIDO</w:t>
      </w:r>
    </w:p>
    <w:p w:rsidR="00055A88" w:rsidRDefault="002E6E84" w:rsidP="002E6E84">
      <w:pPr>
        <w:spacing w:line="360" w:lineRule="auto"/>
        <w:ind w:firstLine="1701"/>
        <w:jc w:val="both"/>
        <w:rPr>
          <w:rFonts w:ascii="Century" w:hAnsi="Century" w:cs="Courier New"/>
          <w:sz w:val="26"/>
          <w:szCs w:val="26"/>
        </w:rPr>
      </w:pPr>
      <w:r>
        <w:rPr>
          <w:rFonts w:ascii="Century" w:hAnsi="Century" w:cs="Courier New"/>
          <w:sz w:val="26"/>
          <w:szCs w:val="26"/>
        </w:rPr>
        <w:t>De todo o exposto, é o</w:t>
      </w:r>
      <w:r w:rsidR="00055A88">
        <w:rPr>
          <w:rFonts w:ascii="Century" w:hAnsi="Century" w:cs="Courier New"/>
          <w:sz w:val="26"/>
          <w:szCs w:val="26"/>
        </w:rPr>
        <w:t xml:space="preserve"> presente para </w:t>
      </w:r>
      <w:r>
        <w:rPr>
          <w:rFonts w:ascii="Century" w:hAnsi="Century" w:cs="Courier New"/>
          <w:sz w:val="26"/>
          <w:szCs w:val="26"/>
        </w:rPr>
        <w:t>requerer a extensão da fiscalização para os atos de manobras contábeis realizadas pelo Tesouro Nacional e demais órgãos da administração pública direta e indireta no ano de 2015, tomando-se as providências necessárias para fazer cessar a prática destas ilegalidades</w:t>
      </w:r>
      <w:r w:rsidR="00055A88">
        <w:rPr>
          <w:rFonts w:ascii="Century" w:hAnsi="Century" w:cs="Courier New"/>
          <w:sz w:val="26"/>
          <w:szCs w:val="26"/>
        </w:rPr>
        <w:t>.</w:t>
      </w:r>
    </w:p>
    <w:p w:rsidR="00055A88" w:rsidRDefault="00055A88" w:rsidP="00A661F3">
      <w:pPr>
        <w:spacing w:line="360" w:lineRule="auto"/>
        <w:ind w:firstLine="1701"/>
        <w:jc w:val="both"/>
        <w:rPr>
          <w:rFonts w:ascii="Century" w:hAnsi="Century" w:cs="Courier New"/>
          <w:sz w:val="26"/>
          <w:szCs w:val="26"/>
        </w:rPr>
      </w:pPr>
      <w:r>
        <w:rPr>
          <w:rFonts w:ascii="Century" w:hAnsi="Century" w:cs="Courier New"/>
          <w:sz w:val="26"/>
          <w:szCs w:val="26"/>
        </w:rPr>
        <w:t>Termos em que,</w:t>
      </w:r>
      <w:r w:rsidR="002E6E84">
        <w:rPr>
          <w:rFonts w:ascii="Century" w:hAnsi="Century" w:cs="Courier New"/>
          <w:sz w:val="26"/>
          <w:szCs w:val="26"/>
        </w:rPr>
        <w:t xml:space="preserve"> </w:t>
      </w:r>
      <w:r>
        <w:rPr>
          <w:rFonts w:ascii="Century" w:hAnsi="Century" w:cs="Courier New"/>
          <w:sz w:val="26"/>
          <w:szCs w:val="26"/>
        </w:rPr>
        <w:t>Pede deferimento.</w:t>
      </w:r>
    </w:p>
    <w:p w:rsidR="00055A88" w:rsidRDefault="00055A88" w:rsidP="00A661F3">
      <w:pPr>
        <w:spacing w:line="360" w:lineRule="auto"/>
        <w:ind w:firstLine="1701"/>
        <w:jc w:val="both"/>
        <w:rPr>
          <w:rFonts w:ascii="Century" w:hAnsi="Century" w:cs="Courier New"/>
          <w:sz w:val="26"/>
          <w:szCs w:val="26"/>
        </w:rPr>
      </w:pPr>
      <w:r>
        <w:rPr>
          <w:rFonts w:ascii="Century" w:hAnsi="Century" w:cs="Courier New"/>
          <w:sz w:val="26"/>
          <w:szCs w:val="26"/>
        </w:rPr>
        <w:t>Brasília, 30 de junho de 2015.</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gridCol w:w="4220"/>
      </w:tblGrid>
      <w:tr w:rsidR="00055A88" w:rsidRPr="00324DB6" w:rsidTr="00D641DD">
        <w:tc>
          <w:tcPr>
            <w:tcW w:w="4220" w:type="dxa"/>
          </w:tcPr>
          <w:p w:rsidR="00055A88" w:rsidRDefault="00055A88" w:rsidP="00A661F3">
            <w:pPr>
              <w:pStyle w:val="NormalWeb"/>
              <w:spacing w:before="0" w:beforeAutospacing="0" w:after="0" w:afterAutospacing="0" w:line="360" w:lineRule="auto"/>
              <w:jc w:val="center"/>
              <w:rPr>
                <w:rStyle w:val="Forte"/>
                <w:rFonts w:ascii="Century" w:hAnsi="Century" w:cs="Courier New"/>
              </w:rPr>
            </w:pPr>
          </w:p>
          <w:p w:rsidR="002E6E84" w:rsidRDefault="002E6E84" w:rsidP="00A661F3">
            <w:pPr>
              <w:pStyle w:val="NormalWeb"/>
              <w:spacing w:before="0" w:beforeAutospacing="0" w:after="0" w:afterAutospacing="0" w:line="360" w:lineRule="auto"/>
              <w:jc w:val="center"/>
              <w:rPr>
                <w:rStyle w:val="Forte"/>
                <w:rFonts w:ascii="Century" w:hAnsi="Century" w:cs="Courier New"/>
              </w:rPr>
            </w:pPr>
          </w:p>
          <w:p w:rsidR="00055A88" w:rsidRPr="00324DB6" w:rsidRDefault="00055A88" w:rsidP="00A661F3">
            <w:pPr>
              <w:pStyle w:val="NormalWeb"/>
              <w:spacing w:before="0" w:beforeAutospacing="0" w:after="0" w:afterAutospacing="0"/>
              <w:jc w:val="center"/>
              <w:rPr>
                <w:rStyle w:val="Forte"/>
                <w:rFonts w:ascii="Century" w:hAnsi="Century" w:cs="Courier New"/>
              </w:rPr>
            </w:pPr>
            <w:r w:rsidRPr="00324DB6">
              <w:rPr>
                <w:rStyle w:val="Forte"/>
                <w:rFonts w:ascii="Century" w:hAnsi="Century" w:cs="Courier New"/>
              </w:rPr>
              <w:t>PARTIDO SOCIAL DEMOCRACIA BRASILEIRA - PSDB</w:t>
            </w:r>
          </w:p>
        </w:tc>
        <w:tc>
          <w:tcPr>
            <w:tcW w:w="4220" w:type="dxa"/>
          </w:tcPr>
          <w:p w:rsidR="00055A88" w:rsidRDefault="00055A88" w:rsidP="00A661F3">
            <w:pPr>
              <w:pStyle w:val="NormalWeb"/>
              <w:spacing w:before="0" w:beforeAutospacing="0" w:after="0" w:afterAutospacing="0" w:line="360" w:lineRule="auto"/>
              <w:jc w:val="center"/>
              <w:rPr>
                <w:rStyle w:val="Forte"/>
                <w:rFonts w:ascii="Century" w:hAnsi="Century" w:cs="Courier New"/>
              </w:rPr>
            </w:pPr>
          </w:p>
          <w:p w:rsidR="002E6E84" w:rsidRPr="00324DB6" w:rsidRDefault="002E6E84" w:rsidP="00A661F3">
            <w:pPr>
              <w:pStyle w:val="NormalWeb"/>
              <w:spacing w:before="0" w:beforeAutospacing="0" w:after="0" w:afterAutospacing="0" w:line="360" w:lineRule="auto"/>
              <w:jc w:val="center"/>
              <w:rPr>
                <w:rStyle w:val="Forte"/>
                <w:rFonts w:ascii="Century" w:hAnsi="Century" w:cs="Courier New"/>
              </w:rPr>
            </w:pPr>
          </w:p>
          <w:p w:rsidR="00055A88" w:rsidRPr="00324DB6" w:rsidRDefault="00055A88" w:rsidP="00A661F3">
            <w:pPr>
              <w:pStyle w:val="NormalWeb"/>
              <w:spacing w:before="0" w:beforeAutospacing="0" w:after="0" w:afterAutospacing="0"/>
              <w:jc w:val="center"/>
              <w:rPr>
                <w:rStyle w:val="Forte"/>
                <w:rFonts w:ascii="Century" w:hAnsi="Century" w:cs="Courier New"/>
              </w:rPr>
            </w:pPr>
            <w:r w:rsidRPr="00324DB6">
              <w:rPr>
                <w:rStyle w:val="Forte"/>
                <w:rFonts w:ascii="Century" w:hAnsi="Century" w:cs="Courier New"/>
              </w:rPr>
              <w:t>PARTIDO POPULAR SOCIALISTA PPS</w:t>
            </w:r>
          </w:p>
        </w:tc>
      </w:tr>
      <w:tr w:rsidR="00055A88" w:rsidRPr="00324DB6" w:rsidTr="00D641DD">
        <w:tc>
          <w:tcPr>
            <w:tcW w:w="4220" w:type="dxa"/>
          </w:tcPr>
          <w:p w:rsidR="00055A88" w:rsidRPr="00324DB6" w:rsidRDefault="00055A88" w:rsidP="00D641DD">
            <w:pPr>
              <w:pStyle w:val="NormalWeb"/>
              <w:spacing w:before="0" w:beforeAutospacing="0" w:after="0" w:afterAutospacing="0" w:line="360" w:lineRule="auto"/>
              <w:jc w:val="both"/>
              <w:rPr>
                <w:rStyle w:val="Forte"/>
                <w:rFonts w:ascii="Century" w:hAnsi="Century" w:cs="Courier New"/>
              </w:rPr>
            </w:pPr>
          </w:p>
          <w:p w:rsidR="00055A88" w:rsidRDefault="00055A88" w:rsidP="00A661F3">
            <w:pPr>
              <w:pStyle w:val="NormalWeb"/>
              <w:spacing w:before="0" w:beforeAutospacing="0" w:after="0" w:afterAutospacing="0"/>
              <w:jc w:val="both"/>
              <w:rPr>
                <w:rStyle w:val="Forte"/>
                <w:rFonts w:ascii="Century" w:hAnsi="Century" w:cs="Courier New"/>
              </w:rPr>
            </w:pPr>
          </w:p>
          <w:p w:rsidR="002E6E84" w:rsidRPr="00324DB6" w:rsidRDefault="002E6E84" w:rsidP="00A661F3">
            <w:pPr>
              <w:pStyle w:val="NormalWeb"/>
              <w:spacing w:before="0" w:beforeAutospacing="0" w:after="0" w:afterAutospacing="0"/>
              <w:jc w:val="both"/>
              <w:rPr>
                <w:rStyle w:val="Forte"/>
                <w:rFonts w:ascii="Century" w:hAnsi="Century" w:cs="Courier New"/>
              </w:rPr>
            </w:pPr>
          </w:p>
          <w:p w:rsidR="00055A88" w:rsidRPr="00324DB6" w:rsidRDefault="00055A88" w:rsidP="00D641DD">
            <w:pPr>
              <w:pStyle w:val="NormalWeb"/>
              <w:spacing w:before="0" w:beforeAutospacing="0" w:after="0" w:afterAutospacing="0" w:line="360" w:lineRule="auto"/>
              <w:jc w:val="center"/>
              <w:rPr>
                <w:rStyle w:val="Forte"/>
                <w:rFonts w:ascii="Century" w:hAnsi="Century" w:cs="Courier New"/>
              </w:rPr>
            </w:pPr>
            <w:r w:rsidRPr="00324DB6">
              <w:rPr>
                <w:rStyle w:val="Forte"/>
                <w:rFonts w:ascii="Century" w:hAnsi="Century" w:cs="Courier New"/>
              </w:rPr>
              <w:t>DEMOCRATAS - DEM</w:t>
            </w:r>
          </w:p>
        </w:tc>
        <w:tc>
          <w:tcPr>
            <w:tcW w:w="4220" w:type="dxa"/>
          </w:tcPr>
          <w:p w:rsidR="00055A88" w:rsidRPr="00324DB6" w:rsidRDefault="00055A88" w:rsidP="00A661F3">
            <w:pPr>
              <w:pStyle w:val="NormalWeb"/>
              <w:spacing w:before="0" w:beforeAutospacing="0" w:after="0" w:afterAutospacing="0"/>
              <w:jc w:val="center"/>
              <w:rPr>
                <w:rStyle w:val="Forte"/>
                <w:rFonts w:ascii="Century" w:hAnsi="Century" w:cs="Courier New"/>
              </w:rPr>
            </w:pPr>
          </w:p>
          <w:p w:rsidR="00055A88" w:rsidRDefault="00055A88" w:rsidP="00D641DD">
            <w:pPr>
              <w:pStyle w:val="NormalWeb"/>
              <w:spacing w:before="0" w:beforeAutospacing="0" w:after="0" w:afterAutospacing="0" w:line="360" w:lineRule="auto"/>
              <w:jc w:val="center"/>
              <w:rPr>
                <w:rStyle w:val="Forte"/>
                <w:rFonts w:ascii="Century" w:hAnsi="Century" w:cs="Courier New"/>
              </w:rPr>
            </w:pPr>
          </w:p>
          <w:p w:rsidR="002E6E84" w:rsidRPr="00324DB6" w:rsidRDefault="002E6E84" w:rsidP="00D641DD">
            <w:pPr>
              <w:pStyle w:val="NormalWeb"/>
              <w:spacing w:before="0" w:beforeAutospacing="0" w:after="0" w:afterAutospacing="0" w:line="360" w:lineRule="auto"/>
              <w:jc w:val="center"/>
              <w:rPr>
                <w:rStyle w:val="Forte"/>
                <w:rFonts w:ascii="Century" w:hAnsi="Century" w:cs="Courier New"/>
              </w:rPr>
            </w:pPr>
          </w:p>
          <w:p w:rsidR="00055A88" w:rsidRPr="00324DB6" w:rsidRDefault="00055A88" w:rsidP="00D641DD">
            <w:pPr>
              <w:pStyle w:val="NormalWeb"/>
              <w:spacing w:before="0" w:beforeAutospacing="0" w:after="0" w:afterAutospacing="0"/>
              <w:jc w:val="center"/>
              <w:rPr>
                <w:rStyle w:val="Forte"/>
                <w:rFonts w:ascii="Century" w:hAnsi="Century" w:cs="Courier New"/>
              </w:rPr>
            </w:pPr>
            <w:r w:rsidRPr="00324DB6">
              <w:rPr>
                <w:rStyle w:val="Forte"/>
                <w:rFonts w:ascii="Century" w:hAnsi="Century" w:cs="Courier New"/>
              </w:rPr>
              <w:t>SOLIDARIEDADE - SD</w:t>
            </w:r>
          </w:p>
        </w:tc>
      </w:tr>
    </w:tbl>
    <w:p w:rsidR="00055A88" w:rsidRPr="00324DB6" w:rsidRDefault="00055A88" w:rsidP="00055A88">
      <w:pPr>
        <w:pStyle w:val="NormalWeb"/>
        <w:shd w:val="clear" w:color="auto" w:fill="FFFFFF" w:themeFill="background1"/>
        <w:spacing w:before="0" w:beforeAutospacing="0" w:after="0" w:afterAutospacing="0" w:line="360" w:lineRule="auto"/>
        <w:jc w:val="both"/>
        <w:rPr>
          <w:rStyle w:val="Forte"/>
          <w:rFonts w:ascii="Century" w:hAnsi="Century" w:cs="Courier New"/>
          <w:b w:val="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gridCol w:w="4220"/>
      </w:tblGrid>
      <w:tr w:rsidR="00055A88" w:rsidRPr="00324DB6" w:rsidTr="00D641DD">
        <w:tc>
          <w:tcPr>
            <w:tcW w:w="4220" w:type="dxa"/>
          </w:tcPr>
          <w:p w:rsidR="002E6E84" w:rsidRDefault="002E6E84" w:rsidP="00D641DD">
            <w:pPr>
              <w:pStyle w:val="NormalWeb"/>
              <w:spacing w:before="0" w:beforeAutospacing="0" w:after="0" w:afterAutospacing="0"/>
              <w:jc w:val="center"/>
              <w:rPr>
                <w:rStyle w:val="Forte"/>
                <w:rFonts w:ascii="Century" w:hAnsi="Century" w:cs="Courier New"/>
              </w:rPr>
            </w:pPr>
          </w:p>
          <w:p w:rsidR="00055A88" w:rsidRPr="00324DB6" w:rsidRDefault="00055A88" w:rsidP="00D641DD">
            <w:pPr>
              <w:pStyle w:val="NormalWeb"/>
              <w:spacing w:before="0" w:beforeAutospacing="0" w:after="0" w:afterAutospacing="0"/>
              <w:jc w:val="center"/>
              <w:rPr>
                <w:rStyle w:val="Forte"/>
                <w:rFonts w:ascii="Century" w:hAnsi="Century" w:cs="Courier New"/>
              </w:rPr>
            </w:pPr>
            <w:r w:rsidRPr="00324DB6">
              <w:rPr>
                <w:rStyle w:val="Forte"/>
                <w:rFonts w:ascii="Century" w:hAnsi="Century" w:cs="Courier New"/>
              </w:rPr>
              <w:t>Deputado Carlos Sampaio</w:t>
            </w:r>
          </w:p>
          <w:p w:rsidR="00055A88" w:rsidRPr="00324DB6" w:rsidRDefault="00055A88" w:rsidP="00D641DD">
            <w:pPr>
              <w:pStyle w:val="NormalWeb"/>
              <w:spacing w:before="0" w:beforeAutospacing="0" w:after="0" w:afterAutospacing="0"/>
              <w:jc w:val="center"/>
              <w:rPr>
                <w:rStyle w:val="Forte"/>
                <w:rFonts w:ascii="Century" w:hAnsi="Century" w:cs="Courier New"/>
                <w:b w:val="0"/>
              </w:rPr>
            </w:pPr>
            <w:r w:rsidRPr="00324DB6">
              <w:rPr>
                <w:rStyle w:val="Forte"/>
                <w:rFonts w:ascii="Century" w:hAnsi="Century" w:cs="Courier New"/>
              </w:rPr>
              <w:t>Líder do PSDB</w:t>
            </w:r>
          </w:p>
        </w:tc>
        <w:tc>
          <w:tcPr>
            <w:tcW w:w="4220" w:type="dxa"/>
          </w:tcPr>
          <w:p w:rsidR="002E6E84" w:rsidRDefault="002E6E84" w:rsidP="00D641DD">
            <w:pPr>
              <w:pStyle w:val="NormalWeb"/>
              <w:spacing w:before="0" w:beforeAutospacing="0" w:after="0" w:afterAutospacing="0"/>
              <w:jc w:val="center"/>
              <w:rPr>
                <w:rStyle w:val="Forte"/>
                <w:rFonts w:ascii="Century" w:hAnsi="Century" w:cs="Courier New"/>
              </w:rPr>
            </w:pPr>
          </w:p>
          <w:p w:rsidR="00055A88" w:rsidRPr="00324DB6" w:rsidRDefault="00055A88" w:rsidP="00D641DD">
            <w:pPr>
              <w:pStyle w:val="NormalWeb"/>
              <w:spacing w:before="0" w:beforeAutospacing="0" w:after="0" w:afterAutospacing="0"/>
              <w:jc w:val="center"/>
              <w:rPr>
                <w:rStyle w:val="Forte"/>
                <w:rFonts w:ascii="Century" w:hAnsi="Century" w:cs="Courier New"/>
              </w:rPr>
            </w:pPr>
            <w:r w:rsidRPr="00324DB6">
              <w:rPr>
                <w:rStyle w:val="Forte"/>
                <w:rFonts w:ascii="Century" w:hAnsi="Century" w:cs="Courier New"/>
              </w:rPr>
              <w:t>Senador Cássio Cunha Lima</w:t>
            </w:r>
          </w:p>
          <w:p w:rsidR="00055A88" w:rsidRPr="00324DB6" w:rsidRDefault="00055A88" w:rsidP="00D641DD">
            <w:pPr>
              <w:pStyle w:val="NormalWeb"/>
              <w:spacing w:before="0" w:beforeAutospacing="0" w:after="0" w:afterAutospacing="0"/>
              <w:jc w:val="center"/>
              <w:rPr>
                <w:rStyle w:val="Forte"/>
                <w:rFonts w:ascii="Century" w:hAnsi="Century" w:cs="Courier New"/>
                <w:b w:val="0"/>
              </w:rPr>
            </w:pPr>
            <w:r w:rsidRPr="00324DB6">
              <w:rPr>
                <w:rStyle w:val="Forte"/>
                <w:rFonts w:ascii="Century" w:hAnsi="Century" w:cs="Courier New"/>
              </w:rPr>
              <w:t>Líder do PSDB</w:t>
            </w:r>
          </w:p>
        </w:tc>
      </w:tr>
      <w:tr w:rsidR="00055A88" w:rsidRPr="00324DB6" w:rsidTr="00D641DD">
        <w:tc>
          <w:tcPr>
            <w:tcW w:w="4220" w:type="dxa"/>
          </w:tcPr>
          <w:p w:rsidR="00055A88" w:rsidRPr="00324DB6" w:rsidRDefault="00055A88" w:rsidP="00D641DD">
            <w:pPr>
              <w:pStyle w:val="NormalWeb"/>
              <w:spacing w:before="0" w:beforeAutospacing="0" w:after="0" w:afterAutospacing="0" w:line="360" w:lineRule="auto"/>
              <w:jc w:val="center"/>
              <w:rPr>
                <w:rStyle w:val="Forte"/>
                <w:rFonts w:ascii="Century" w:hAnsi="Century" w:cs="Courier New"/>
              </w:rPr>
            </w:pPr>
          </w:p>
          <w:p w:rsidR="00055A88" w:rsidRPr="00324DB6" w:rsidRDefault="00055A88" w:rsidP="00D641DD">
            <w:pPr>
              <w:pStyle w:val="NormalWeb"/>
              <w:spacing w:before="0" w:beforeAutospacing="0" w:after="0" w:afterAutospacing="0" w:line="360" w:lineRule="auto"/>
              <w:jc w:val="center"/>
              <w:rPr>
                <w:rStyle w:val="Forte"/>
                <w:rFonts w:ascii="Century" w:hAnsi="Century" w:cs="Courier New"/>
              </w:rPr>
            </w:pPr>
          </w:p>
          <w:p w:rsidR="00055A88" w:rsidRPr="00324DB6" w:rsidRDefault="00055A88" w:rsidP="00D641DD">
            <w:pPr>
              <w:pStyle w:val="NormalWeb"/>
              <w:spacing w:before="0" w:beforeAutospacing="0" w:after="0" w:afterAutospacing="0"/>
              <w:jc w:val="center"/>
              <w:rPr>
                <w:rStyle w:val="Forte"/>
                <w:rFonts w:ascii="Century" w:hAnsi="Century" w:cs="Courier New"/>
              </w:rPr>
            </w:pPr>
            <w:r w:rsidRPr="00324DB6">
              <w:rPr>
                <w:rStyle w:val="Forte"/>
                <w:rFonts w:ascii="Century" w:hAnsi="Century" w:cs="Courier New"/>
              </w:rPr>
              <w:t>Deputado Mendonça Filho</w:t>
            </w:r>
          </w:p>
          <w:p w:rsidR="00055A88" w:rsidRPr="00324DB6" w:rsidRDefault="00055A88" w:rsidP="00D641DD">
            <w:pPr>
              <w:pStyle w:val="NormalWeb"/>
              <w:spacing w:before="0" w:beforeAutospacing="0" w:after="0" w:afterAutospacing="0"/>
              <w:jc w:val="center"/>
              <w:rPr>
                <w:rStyle w:val="Forte"/>
                <w:rFonts w:ascii="Century" w:hAnsi="Century" w:cs="Courier New"/>
                <w:b w:val="0"/>
              </w:rPr>
            </w:pPr>
            <w:r w:rsidRPr="00324DB6">
              <w:rPr>
                <w:rStyle w:val="Forte"/>
                <w:rFonts w:ascii="Century" w:hAnsi="Century" w:cs="Courier New"/>
              </w:rPr>
              <w:t>Líder do DEM</w:t>
            </w:r>
          </w:p>
        </w:tc>
        <w:tc>
          <w:tcPr>
            <w:tcW w:w="4220" w:type="dxa"/>
          </w:tcPr>
          <w:p w:rsidR="00055A88" w:rsidRPr="00324DB6" w:rsidRDefault="00055A88" w:rsidP="00D641DD">
            <w:pPr>
              <w:pStyle w:val="NormalWeb"/>
              <w:spacing w:before="0" w:beforeAutospacing="0" w:after="0" w:afterAutospacing="0" w:line="360" w:lineRule="auto"/>
              <w:jc w:val="center"/>
              <w:rPr>
                <w:rStyle w:val="Forte"/>
                <w:rFonts w:ascii="Century" w:hAnsi="Century" w:cs="Courier New"/>
              </w:rPr>
            </w:pPr>
          </w:p>
          <w:p w:rsidR="00055A88" w:rsidRPr="00324DB6" w:rsidRDefault="00055A88" w:rsidP="00D641DD">
            <w:pPr>
              <w:pStyle w:val="NormalWeb"/>
              <w:spacing w:before="0" w:beforeAutospacing="0" w:after="0" w:afterAutospacing="0" w:line="360" w:lineRule="auto"/>
              <w:jc w:val="center"/>
              <w:rPr>
                <w:rStyle w:val="Forte"/>
                <w:rFonts w:ascii="Century" w:hAnsi="Century" w:cs="Courier New"/>
              </w:rPr>
            </w:pPr>
          </w:p>
          <w:p w:rsidR="00055A88" w:rsidRPr="00324DB6" w:rsidRDefault="00055A88" w:rsidP="00D641DD">
            <w:pPr>
              <w:pStyle w:val="NormalWeb"/>
              <w:spacing w:before="0" w:beforeAutospacing="0" w:after="0" w:afterAutospacing="0"/>
              <w:jc w:val="center"/>
              <w:rPr>
                <w:rStyle w:val="Forte"/>
                <w:rFonts w:ascii="Century" w:hAnsi="Century" w:cs="Courier New"/>
              </w:rPr>
            </w:pPr>
            <w:r w:rsidRPr="00324DB6">
              <w:rPr>
                <w:rStyle w:val="Forte"/>
                <w:rFonts w:ascii="Century" w:hAnsi="Century" w:cs="Courier New"/>
              </w:rPr>
              <w:t>Senador Ronaldo Caiado</w:t>
            </w:r>
          </w:p>
          <w:p w:rsidR="00055A88" w:rsidRPr="00324DB6" w:rsidRDefault="00055A88" w:rsidP="00D641DD">
            <w:pPr>
              <w:pStyle w:val="NormalWeb"/>
              <w:spacing w:before="0" w:beforeAutospacing="0" w:after="0" w:afterAutospacing="0"/>
              <w:jc w:val="center"/>
              <w:rPr>
                <w:rStyle w:val="Forte"/>
                <w:rFonts w:ascii="Century" w:hAnsi="Century" w:cs="Courier New"/>
                <w:b w:val="0"/>
              </w:rPr>
            </w:pPr>
            <w:r w:rsidRPr="00324DB6">
              <w:rPr>
                <w:rStyle w:val="Forte"/>
                <w:rFonts w:ascii="Century" w:hAnsi="Century" w:cs="Courier New"/>
              </w:rPr>
              <w:t>Líder do DEM</w:t>
            </w:r>
          </w:p>
        </w:tc>
      </w:tr>
      <w:tr w:rsidR="00055A88" w:rsidRPr="00324DB6" w:rsidTr="00D641DD">
        <w:tc>
          <w:tcPr>
            <w:tcW w:w="4220" w:type="dxa"/>
          </w:tcPr>
          <w:p w:rsidR="00055A88" w:rsidRPr="00324DB6" w:rsidRDefault="00055A88" w:rsidP="00D641DD">
            <w:pPr>
              <w:pStyle w:val="NormalWeb"/>
              <w:spacing w:before="0" w:beforeAutospacing="0" w:after="0" w:afterAutospacing="0" w:line="360" w:lineRule="auto"/>
              <w:jc w:val="center"/>
              <w:rPr>
                <w:rStyle w:val="Forte"/>
                <w:rFonts w:ascii="Century" w:hAnsi="Century" w:cs="Courier New"/>
              </w:rPr>
            </w:pPr>
          </w:p>
          <w:p w:rsidR="00055A88" w:rsidRPr="00324DB6" w:rsidRDefault="00055A88" w:rsidP="00D641DD">
            <w:pPr>
              <w:pStyle w:val="NormalWeb"/>
              <w:spacing w:before="0" w:beforeAutospacing="0" w:after="0" w:afterAutospacing="0" w:line="360" w:lineRule="auto"/>
              <w:jc w:val="center"/>
              <w:rPr>
                <w:rStyle w:val="Forte"/>
                <w:rFonts w:ascii="Century" w:hAnsi="Century" w:cs="Courier New"/>
              </w:rPr>
            </w:pPr>
          </w:p>
          <w:p w:rsidR="00055A88" w:rsidRPr="00324DB6" w:rsidRDefault="00055A88" w:rsidP="00D641DD">
            <w:pPr>
              <w:pStyle w:val="NormalWeb"/>
              <w:spacing w:before="0" w:beforeAutospacing="0" w:after="0" w:afterAutospacing="0"/>
              <w:jc w:val="center"/>
              <w:rPr>
                <w:rStyle w:val="Forte"/>
                <w:rFonts w:ascii="Century" w:hAnsi="Century" w:cs="Courier New"/>
              </w:rPr>
            </w:pPr>
            <w:r w:rsidRPr="00324DB6">
              <w:rPr>
                <w:rStyle w:val="Forte"/>
                <w:rFonts w:ascii="Century" w:hAnsi="Century" w:cs="Courier New"/>
              </w:rPr>
              <w:t>Deputado Rubens Bueno</w:t>
            </w:r>
          </w:p>
          <w:p w:rsidR="00055A88" w:rsidRPr="00324DB6" w:rsidRDefault="00055A88" w:rsidP="00D641DD">
            <w:pPr>
              <w:pStyle w:val="NormalWeb"/>
              <w:spacing w:before="0" w:beforeAutospacing="0" w:after="0" w:afterAutospacing="0"/>
              <w:jc w:val="center"/>
              <w:rPr>
                <w:rStyle w:val="Forte"/>
                <w:rFonts w:ascii="Century" w:hAnsi="Century" w:cs="Courier New"/>
                <w:b w:val="0"/>
              </w:rPr>
            </w:pPr>
            <w:r w:rsidRPr="00324DB6">
              <w:rPr>
                <w:rStyle w:val="Forte"/>
                <w:rFonts w:ascii="Century" w:hAnsi="Century" w:cs="Courier New"/>
              </w:rPr>
              <w:t>Líder do PPS</w:t>
            </w:r>
          </w:p>
        </w:tc>
        <w:tc>
          <w:tcPr>
            <w:tcW w:w="4220" w:type="dxa"/>
          </w:tcPr>
          <w:p w:rsidR="00055A88" w:rsidRPr="00324DB6" w:rsidRDefault="00055A88" w:rsidP="00D641DD">
            <w:pPr>
              <w:pStyle w:val="NormalWeb"/>
              <w:spacing w:before="0" w:beforeAutospacing="0" w:after="0" w:afterAutospacing="0" w:line="360" w:lineRule="auto"/>
              <w:jc w:val="center"/>
              <w:rPr>
                <w:rStyle w:val="Forte"/>
                <w:rFonts w:ascii="Century" w:hAnsi="Century" w:cs="Courier New"/>
              </w:rPr>
            </w:pPr>
          </w:p>
          <w:p w:rsidR="00055A88" w:rsidRPr="00324DB6" w:rsidRDefault="00055A88" w:rsidP="00D641DD">
            <w:pPr>
              <w:pStyle w:val="NormalWeb"/>
              <w:spacing w:before="0" w:beforeAutospacing="0" w:after="0" w:afterAutospacing="0" w:line="360" w:lineRule="auto"/>
              <w:jc w:val="center"/>
              <w:rPr>
                <w:rStyle w:val="Forte"/>
                <w:rFonts w:ascii="Century" w:hAnsi="Century" w:cs="Courier New"/>
              </w:rPr>
            </w:pPr>
          </w:p>
          <w:p w:rsidR="00055A88" w:rsidRPr="00324DB6" w:rsidRDefault="00055A88" w:rsidP="00D641DD">
            <w:pPr>
              <w:pStyle w:val="NormalWeb"/>
              <w:spacing w:before="0" w:beforeAutospacing="0" w:after="0" w:afterAutospacing="0"/>
              <w:jc w:val="center"/>
              <w:rPr>
                <w:rStyle w:val="Forte"/>
                <w:rFonts w:ascii="Century" w:hAnsi="Century" w:cs="Courier New"/>
              </w:rPr>
            </w:pPr>
            <w:r w:rsidRPr="00324DB6">
              <w:rPr>
                <w:rStyle w:val="Forte"/>
                <w:rFonts w:ascii="Century" w:hAnsi="Century" w:cs="Courier New"/>
              </w:rPr>
              <w:t>Senador José Medeiros</w:t>
            </w:r>
          </w:p>
          <w:p w:rsidR="00055A88" w:rsidRPr="00324DB6" w:rsidRDefault="00055A88" w:rsidP="00D641DD">
            <w:pPr>
              <w:pStyle w:val="NormalWeb"/>
              <w:spacing w:before="0" w:beforeAutospacing="0" w:after="0" w:afterAutospacing="0"/>
              <w:jc w:val="center"/>
              <w:rPr>
                <w:rStyle w:val="Forte"/>
                <w:rFonts w:ascii="Century" w:hAnsi="Century" w:cs="Courier New"/>
                <w:b w:val="0"/>
              </w:rPr>
            </w:pPr>
            <w:r w:rsidRPr="00324DB6">
              <w:rPr>
                <w:rStyle w:val="Forte"/>
                <w:rFonts w:ascii="Century" w:hAnsi="Century" w:cs="Courier New"/>
              </w:rPr>
              <w:t>Líder do PPS</w:t>
            </w:r>
          </w:p>
        </w:tc>
      </w:tr>
    </w:tbl>
    <w:p w:rsidR="00055A88" w:rsidRPr="00324DB6" w:rsidRDefault="00055A88" w:rsidP="00055A88">
      <w:pPr>
        <w:pStyle w:val="NormalWeb"/>
        <w:shd w:val="clear" w:color="auto" w:fill="FFFFFF" w:themeFill="background1"/>
        <w:spacing w:before="0" w:beforeAutospacing="0" w:after="0" w:afterAutospacing="0" w:line="360" w:lineRule="auto"/>
        <w:jc w:val="center"/>
        <w:rPr>
          <w:rStyle w:val="Forte"/>
          <w:rFonts w:ascii="Century" w:hAnsi="Century" w:cs="Courier New"/>
        </w:rPr>
      </w:pPr>
    </w:p>
    <w:p w:rsidR="00055A88" w:rsidRPr="00324DB6" w:rsidRDefault="00055A88" w:rsidP="00055A88">
      <w:pPr>
        <w:pStyle w:val="NormalWeb"/>
        <w:shd w:val="clear" w:color="auto" w:fill="FFFFFF" w:themeFill="background1"/>
        <w:spacing w:before="0" w:beforeAutospacing="0" w:after="0" w:afterAutospacing="0" w:line="360" w:lineRule="auto"/>
        <w:jc w:val="center"/>
        <w:rPr>
          <w:rStyle w:val="Forte"/>
          <w:rFonts w:ascii="Century" w:hAnsi="Century" w:cs="Courier New"/>
        </w:rPr>
      </w:pPr>
    </w:p>
    <w:p w:rsidR="00055A88" w:rsidRPr="00324DB6" w:rsidRDefault="00055A88" w:rsidP="00055A88">
      <w:pPr>
        <w:pStyle w:val="NormalWeb"/>
        <w:shd w:val="clear" w:color="auto" w:fill="FFFFFF" w:themeFill="background1"/>
        <w:spacing w:before="0" w:beforeAutospacing="0" w:after="0" w:afterAutospacing="0"/>
        <w:jc w:val="center"/>
        <w:rPr>
          <w:rStyle w:val="Forte"/>
          <w:rFonts w:ascii="Century" w:hAnsi="Century" w:cs="Courier New"/>
        </w:rPr>
      </w:pPr>
      <w:r w:rsidRPr="00324DB6">
        <w:rPr>
          <w:rStyle w:val="Forte"/>
          <w:rFonts w:ascii="Century" w:hAnsi="Century" w:cs="Courier New"/>
        </w:rPr>
        <w:t>Deputado Artur Oliveira Maia</w:t>
      </w:r>
    </w:p>
    <w:p w:rsidR="00055A88" w:rsidRPr="00055A88" w:rsidRDefault="00055A88" w:rsidP="00055A88">
      <w:pPr>
        <w:pStyle w:val="NormalWeb"/>
        <w:shd w:val="clear" w:color="auto" w:fill="FFFFFF" w:themeFill="background1"/>
        <w:spacing w:before="0" w:beforeAutospacing="0" w:after="0" w:afterAutospacing="0"/>
        <w:jc w:val="center"/>
        <w:rPr>
          <w:rFonts w:ascii="Century" w:hAnsi="Century" w:cs="Courier New"/>
          <w:bCs/>
        </w:rPr>
      </w:pPr>
      <w:r w:rsidRPr="00324DB6">
        <w:rPr>
          <w:rStyle w:val="Forte"/>
          <w:rFonts w:ascii="Century" w:hAnsi="Century" w:cs="Courier New"/>
        </w:rPr>
        <w:t>Líder do SD</w:t>
      </w:r>
    </w:p>
    <w:sectPr w:rsidR="00055A88" w:rsidRPr="00055A88" w:rsidSect="005A258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749" w:rsidRDefault="00B40749" w:rsidP="00D641DD">
      <w:pPr>
        <w:spacing w:after="0" w:line="240" w:lineRule="auto"/>
      </w:pPr>
      <w:r>
        <w:separator/>
      </w:r>
    </w:p>
  </w:endnote>
  <w:endnote w:type="continuationSeparator" w:id="0">
    <w:p w:rsidR="00B40749" w:rsidRDefault="00B40749" w:rsidP="00D64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DD" w:rsidRDefault="00D641DD" w:rsidP="00D641DD">
    <w:pPr>
      <w:pStyle w:val="Rodap"/>
      <w:pBdr>
        <w:bottom w:val="single" w:sz="12" w:space="1" w:color="auto"/>
      </w:pBdr>
      <w:jc w:val="right"/>
    </w:pPr>
  </w:p>
  <w:p w:rsidR="00D641DD" w:rsidRDefault="00B40749" w:rsidP="00D641DD">
    <w:pPr>
      <w:pStyle w:val="Rodap"/>
      <w:jc w:val="right"/>
    </w:pPr>
    <w:sdt>
      <w:sdtPr>
        <w:id w:val="879784"/>
        <w:docPartObj>
          <w:docPartGallery w:val="Page Numbers (Bottom of Page)"/>
          <w:docPartUnique/>
        </w:docPartObj>
      </w:sdtPr>
      <w:sdtEndPr/>
      <w:sdtContent>
        <w:r>
          <w:fldChar w:fldCharType="begin"/>
        </w:r>
        <w:r>
          <w:instrText xml:space="preserve"> PAGE   \* MERGEFORMAT </w:instrText>
        </w:r>
        <w:r>
          <w:fldChar w:fldCharType="separate"/>
        </w:r>
        <w:r w:rsidR="00EC439A">
          <w:rPr>
            <w:noProof/>
          </w:rPr>
          <w:t>1</w:t>
        </w:r>
        <w:r>
          <w:rPr>
            <w:noProof/>
          </w:rPr>
          <w:fldChar w:fldCharType="end"/>
        </w:r>
      </w:sdtContent>
    </w:sdt>
  </w:p>
  <w:p w:rsidR="00D641DD" w:rsidRDefault="00D641D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749" w:rsidRDefault="00B40749" w:rsidP="00D641DD">
      <w:pPr>
        <w:spacing w:after="0" w:line="240" w:lineRule="auto"/>
      </w:pPr>
      <w:r>
        <w:separator/>
      </w:r>
    </w:p>
  </w:footnote>
  <w:footnote w:type="continuationSeparator" w:id="0">
    <w:p w:rsidR="00B40749" w:rsidRDefault="00B40749" w:rsidP="00D641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DD" w:rsidRDefault="00D641DD" w:rsidP="00D641DD">
    <w:pPr>
      <w:pStyle w:val="Cabealho"/>
      <w:rPr>
        <w:szCs w:val="30"/>
      </w:rPr>
    </w:pPr>
  </w:p>
  <w:p w:rsidR="00D641DD" w:rsidRPr="00F37C19" w:rsidRDefault="00D641DD" w:rsidP="00D641DD">
    <w:pPr>
      <w:pStyle w:val="Cabealho"/>
      <w:jc w:val="center"/>
      <w:rPr>
        <w:rFonts w:ascii="Bookman Old Style" w:hAnsi="Bookman Old Style"/>
        <w:sz w:val="30"/>
        <w:szCs w:val="30"/>
      </w:rPr>
    </w:pPr>
    <w:r w:rsidRPr="00F37C19">
      <w:rPr>
        <w:rFonts w:ascii="Bookman Old Style" w:hAnsi="Bookman Old Style"/>
        <w:sz w:val="30"/>
        <w:szCs w:val="30"/>
      </w:rPr>
      <w:t>FLÁVIO HENRIQUE COSTA PEREIRA</w:t>
    </w:r>
  </w:p>
  <w:p w:rsidR="00D641DD" w:rsidRDefault="00D641DD" w:rsidP="00D641DD">
    <w:pPr>
      <w:pStyle w:val="Cabealho"/>
      <w:pBdr>
        <w:bottom w:val="single" w:sz="12" w:space="1" w:color="auto"/>
      </w:pBdr>
      <w:jc w:val="center"/>
      <w:rPr>
        <w:rFonts w:ascii="Bookman Old Style" w:hAnsi="Bookman Old Style"/>
        <w:sz w:val="30"/>
        <w:szCs w:val="30"/>
      </w:rPr>
    </w:pPr>
    <w:r w:rsidRPr="00F37C19">
      <w:rPr>
        <w:rFonts w:ascii="Bookman Old Style" w:hAnsi="Bookman Old Style"/>
        <w:sz w:val="30"/>
        <w:szCs w:val="30"/>
      </w:rPr>
      <w:t>ADVOGADO</w:t>
    </w:r>
  </w:p>
  <w:p w:rsidR="00D641DD" w:rsidRPr="00F37C19" w:rsidRDefault="00D641DD" w:rsidP="00D641DD">
    <w:pPr>
      <w:pStyle w:val="Cabealho"/>
      <w:jc w:val="center"/>
      <w:rPr>
        <w:rFonts w:ascii="Bookman Old Style" w:hAnsi="Bookman Old Style"/>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AF2"/>
    <w:rsid w:val="00036D29"/>
    <w:rsid w:val="00055A88"/>
    <w:rsid w:val="000E1045"/>
    <w:rsid w:val="002A4710"/>
    <w:rsid w:val="002E6E84"/>
    <w:rsid w:val="00311700"/>
    <w:rsid w:val="004977D9"/>
    <w:rsid w:val="005A2580"/>
    <w:rsid w:val="009F3AF2"/>
    <w:rsid w:val="00A661F3"/>
    <w:rsid w:val="00AF2C7F"/>
    <w:rsid w:val="00AF683F"/>
    <w:rsid w:val="00B40749"/>
    <w:rsid w:val="00D641DD"/>
    <w:rsid w:val="00EC439A"/>
    <w:rsid w:val="00FA21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58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55A8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55A88"/>
    <w:rPr>
      <w:b/>
      <w:bCs/>
    </w:rPr>
  </w:style>
  <w:style w:type="table" w:styleId="Tabelacomgrade">
    <w:name w:val="Table Grid"/>
    <w:basedOn w:val="Tabelanormal"/>
    <w:uiPriority w:val="59"/>
    <w:rsid w:val="00055A88"/>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D641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641DD"/>
  </w:style>
  <w:style w:type="paragraph" w:styleId="Rodap">
    <w:name w:val="footer"/>
    <w:basedOn w:val="Normal"/>
    <w:link w:val="RodapChar"/>
    <w:uiPriority w:val="99"/>
    <w:unhideWhenUsed/>
    <w:rsid w:val="00D641DD"/>
    <w:pPr>
      <w:tabs>
        <w:tab w:val="center" w:pos="4252"/>
        <w:tab w:val="right" w:pos="8504"/>
      </w:tabs>
      <w:spacing w:after="0" w:line="240" w:lineRule="auto"/>
    </w:pPr>
  </w:style>
  <w:style w:type="character" w:customStyle="1" w:styleId="RodapChar">
    <w:name w:val="Rodapé Char"/>
    <w:basedOn w:val="Fontepargpadro"/>
    <w:link w:val="Rodap"/>
    <w:uiPriority w:val="99"/>
    <w:rsid w:val="00D641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58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55A8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55A88"/>
    <w:rPr>
      <w:b/>
      <w:bCs/>
    </w:rPr>
  </w:style>
  <w:style w:type="table" w:styleId="Tabelacomgrade">
    <w:name w:val="Table Grid"/>
    <w:basedOn w:val="Tabelanormal"/>
    <w:uiPriority w:val="59"/>
    <w:rsid w:val="00055A88"/>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D641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641DD"/>
  </w:style>
  <w:style w:type="paragraph" w:styleId="Rodap">
    <w:name w:val="footer"/>
    <w:basedOn w:val="Normal"/>
    <w:link w:val="RodapChar"/>
    <w:uiPriority w:val="99"/>
    <w:unhideWhenUsed/>
    <w:rsid w:val="00D641DD"/>
    <w:pPr>
      <w:tabs>
        <w:tab w:val="center" w:pos="4252"/>
        <w:tab w:val="right" w:pos="8504"/>
      </w:tabs>
      <w:spacing w:after="0" w:line="240" w:lineRule="auto"/>
    </w:pPr>
  </w:style>
  <w:style w:type="character" w:customStyle="1" w:styleId="RodapChar">
    <w:name w:val="Rodapé Char"/>
    <w:basedOn w:val="Fontepargpadro"/>
    <w:link w:val="Rodap"/>
    <w:uiPriority w:val="99"/>
    <w:rsid w:val="00D64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1567</Words>
  <Characters>8464</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10011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FLÁVIO HENRIQUE COSTA PEREIRA</dc:creator>
  <cp:lastModifiedBy>Clarissa Lemgruber</cp:lastModifiedBy>
  <cp:revision>2</cp:revision>
  <dcterms:created xsi:type="dcterms:W3CDTF">2015-06-30T18:19:00Z</dcterms:created>
  <dcterms:modified xsi:type="dcterms:W3CDTF">2015-06-30T18:19:00Z</dcterms:modified>
</cp:coreProperties>
</file>